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5199" w14:textId="77777777" w:rsidR="00A740AE" w:rsidRDefault="00A740AE" w:rsidP="00326728">
      <w:pPr>
        <w:spacing w:before="160" w:after="80" w:line="240" w:lineRule="auto"/>
        <w:ind w:right="-1136"/>
        <w:rPr>
          <w:rFonts w:eastAsia="Times New Roman" w:cstheme="minorHAnsi"/>
          <w:b/>
          <w:bCs/>
          <w:sz w:val="24"/>
          <w:szCs w:val="24"/>
          <w:lang w:eastAsia="de-DE"/>
        </w:rPr>
      </w:pPr>
    </w:p>
    <w:p w14:paraId="7C532834" w14:textId="0CA42985" w:rsidR="00A740AE" w:rsidRDefault="00A740AE" w:rsidP="00326728">
      <w:pPr>
        <w:pBdr>
          <w:top w:val="single" w:sz="4" w:space="1" w:color="auto"/>
          <w:left w:val="single" w:sz="4" w:space="4" w:color="auto"/>
          <w:bottom w:val="single" w:sz="4" w:space="1" w:color="auto"/>
          <w:right w:val="single" w:sz="4" w:space="4" w:color="auto"/>
          <w:between w:val="single" w:sz="4" w:space="1" w:color="auto"/>
          <w:bar w:val="single" w:sz="4" w:color="auto"/>
        </w:pBdr>
        <w:spacing w:before="160" w:after="80" w:line="240" w:lineRule="auto"/>
        <w:ind w:right="-1136"/>
        <w:jc w:val="center"/>
        <w:rPr>
          <w:rFonts w:eastAsia="Times New Roman" w:cstheme="minorHAnsi"/>
          <w:b/>
          <w:bCs/>
          <w:sz w:val="24"/>
          <w:szCs w:val="24"/>
          <w:lang w:eastAsia="de-DE"/>
        </w:rPr>
      </w:pPr>
      <w:r>
        <w:rPr>
          <w:rFonts w:ascii="Arial" w:hAnsi="Arial"/>
          <w:b/>
        </w:rPr>
        <w:t>Stadt Strausberg - B-Plan</w:t>
      </w:r>
      <w:r w:rsidRPr="00BF25F9">
        <w:rPr>
          <w:rFonts w:ascii="Arial" w:hAnsi="Arial"/>
          <w:b/>
        </w:rPr>
        <w:t xml:space="preserve"> Nr. 55/14 „</w:t>
      </w:r>
      <w:proofErr w:type="spellStart"/>
      <w:r w:rsidRPr="00BF25F9">
        <w:rPr>
          <w:rFonts w:ascii="Arial" w:hAnsi="Arial"/>
          <w:b/>
        </w:rPr>
        <w:t>Garzauer</w:t>
      </w:r>
      <w:proofErr w:type="spellEnd"/>
      <w:r w:rsidRPr="00BF25F9">
        <w:rPr>
          <w:rFonts w:ascii="Arial" w:hAnsi="Arial"/>
          <w:b/>
        </w:rPr>
        <w:t xml:space="preserve"> Straße“</w:t>
      </w:r>
    </w:p>
    <w:p w14:paraId="1D3A59FD" w14:textId="77777777" w:rsidR="00A740AE" w:rsidRDefault="00A740AE" w:rsidP="00326728">
      <w:pPr>
        <w:spacing w:before="160" w:after="80" w:line="240" w:lineRule="auto"/>
        <w:ind w:right="-1136"/>
        <w:rPr>
          <w:rFonts w:eastAsia="Times New Roman" w:cstheme="minorHAnsi"/>
          <w:b/>
          <w:bCs/>
          <w:sz w:val="24"/>
          <w:szCs w:val="24"/>
          <w:lang w:eastAsia="de-DE"/>
        </w:rPr>
      </w:pPr>
    </w:p>
    <w:p w14:paraId="629B0591" w14:textId="77777777" w:rsidR="00A740AE" w:rsidRDefault="00A740AE" w:rsidP="00326728">
      <w:pPr>
        <w:spacing w:before="160" w:after="80" w:line="240" w:lineRule="auto"/>
        <w:ind w:right="-1136"/>
        <w:rPr>
          <w:rFonts w:eastAsia="Times New Roman" w:cstheme="minorHAnsi"/>
          <w:b/>
          <w:bCs/>
          <w:sz w:val="24"/>
          <w:szCs w:val="24"/>
          <w:lang w:eastAsia="de-DE"/>
        </w:rPr>
      </w:pPr>
    </w:p>
    <w:p w14:paraId="04A10874" w14:textId="77777777" w:rsidR="00326728" w:rsidRDefault="00326728" w:rsidP="00326728">
      <w:pPr>
        <w:spacing w:before="160" w:after="80" w:line="240" w:lineRule="auto"/>
        <w:ind w:right="-1136"/>
        <w:rPr>
          <w:rFonts w:eastAsia="Times New Roman" w:cstheme="minorHAnsi"/>
          <w:b/>
          <w:bCs/>
          <w:sz w:val="24"/>
          <w:szCs w:val="24"/>
          <w:lang w:eastAsia="de-DE"/>
        </w:rPr>
      </w:pPr>
    </w:p>
    <w:p w14:paraId="30CDF66D" w14:textId="77777777" w:rsidR="00326728" w:rsidRDefault="00326728" w:rsidP="00326728">
      <w:pPr>
        <w:spacing w:before="160" w:after="80" w:line="240" w:lineRule="auto"/>
        <w:ind w:right="-1136"/>
        <w:rPr>
          <w:rFonts w:eastAsia="Times New Roman" w:cstheme="minorHAnsi"/>
          <w:b/>
          <w:bCs/>
          <w:sz w:val="24"/>
          <w:szCs w:val="24"/>
          <w:lang w:eastAsia="de-DE"/>
        </w:rPr>
      </w:pPr>
    </w:p>
    <w:p w14:paraId="740ED3B1" w14:textId="77777777" w:rsidR="00A740AE" w:rsidRDefault="00A740AE" w:rsidP="00326728">
      <w:pPr>
        <w:spacing w:before="160" w:after="80" w:line="240" w:lineRule="auto"/>
        <w:ind w:right="-1136"/>
        <w:rPr>
          <w:rFonts w:eastAsia="Times New Roman" w:cstheme="minorHAnsi"/>
          <w:b/>
          <w:bCs/>
          <w:sz w:val="24"/>
          <w:szCs w:val="24"/>
          <w:lang w:eastAsia="de-DE"/>
        </w:rPr>
      </w:pPr>
    </w:p>
    <w:p w14:paraId="77DC1B84" w14:textId="77777777" w:rsidR="00A740AE" w:rsidRDefault="00A740AE" w:rsidP="00326728">
      <w:pPr>
        <w:spacing w:before="160" w:after="80" w:line="240" w:lineRule="auto"/>
        <w:ind w:right="-1136"/>
        <w:rPr>
          <w:rFonts w:eastAsia="Times New Roman" w:cstheme="minorHAnsi"/>
          <w:b/>
          <w:bCs/>
          <w:sz w:val="24"/>
          <w:szCs w:val="24"/>
          <w:lang w:eastAsia="de-DE"/>
        </w:rPr>
      </w:pPr>
    </w:p>
    <w:p w14:paraId="52189EA6" w14:textId="77777777" w:rsidR="00A740AE" w:rsidRDefault="00A740AE" w:rsidP="00326728">
      <w:pPr>
        <w:spacing w:before="160" w:after="80" w:line="240" w:lineRule="auto"/>
        <w:ind w:right="-1136"/>
        <w:rPr>
          <w:rFonts w:eastAsia="Times New Roman" w:cstheme="minorHAnsi"/>
          <w:b/>
          <w:bCs/>
          <w:sz w:val="24"/>
          <w:szCs w:val="24"/>
          <w:lang w:eastAsia="de-DE"/>
        </w:rPr>
      </w:pPr>
    </w:p>
    <w:p w14:paraId="70317087" w14:textId="77777777" w:rsidR="00A740AE" w:rsidRDefault="00A740AE" w:rsidP="00326728">
      <w:pPr>
        <w:spacing w:before="160" w:after="80" w:line="240" w:lineRule="auto"/>
        <w:ind w:right="-1136"/>
        <w:rPr>
          <w:rFonts w:eastAsia="Times New Roman" w:cstheme="minorHAnsi"/>
          <w:b/>
          <w:bCs/>
          <w:sz w:val="24"/>
          <w:szCs w:val="24"/>
          <w:lang w:eastAsia="de-DE"/>
        </w:rPr>
      </w:pPr>
    </w:p>
    <w:p w14:paraId="3B35A75C" w14:textId="27E6AB58" w:rsidR="00A740AE" w:rsidRPr="00A740AE" w:rsidRDefault="00242044" w:rsidP="00326728">
      <w:pPr>
        <w:spacing w:before="160" w:after="80" w:line="240" w:lineRule="auto"/>
        <w:ind w:right="-1136"/>
        <w:jc w:val="center"/>
        <w:rPr>
          <w:rFonts w:eastAsia="Times New Roman" w:cstheme="minorHAnsi"/>
          <w:b/>
          <w:bCs/>
          <w:sz w:val="40"/>
          <w:szCs w:val="40"/>
          <w:lang w:eastAsia="de-DE"/>
        </w:rPr>
      </w:pPr>
      <w:r w:rsidRPr="00A740AE">
        <w:rPr>
          <w:rFonts w:eastAsia="Times New Roman" w:cstheme="minorHAnsi"/>
          <w:b/>
          <w:bCs/>
          <w:sz w:val="40"/>
          <w:szCs w:val="40"/>
          <w:lang w:eastAsia="de-DE"/>
        </w:rPr>
        <w:t>Zusammenfassende Erklärung</w:t>
      </w:r>
    </w:p>
    <w:p w14:paraId="51B89D46" w14:textId="7B2E45E6" w:rsidR="00242044" w:rsidRPr="009A204E" w:rsidRDefault="00242044" w:rsidP="00326728">
      <w:pPr>
        <w:spacing w:before="160" w:after="80" w:line="240" w:lineRule="auto"/>
        <w:ind w:right="-1136"/>
        <w:jc w:val="center"/>
        <w:rPr>
          <w:rFonts w:eastAsia="Times New Roman" w:cstheme="minorHAnsi"/>
          <w:b/>
          <w:bCs/>
          <w:sz w:val="24"/>
          <w:szCs w:val="24"/>
          <w:lang w:eastAsia="de-DE"/>
        </w:rPr>
      </w:pPr>
      <w:r w:rsidRPr="009A204E">
        <w:rPr>
          <w:rFonts w:eastAsia="Times New Roman" w:cstheme="minorHAnsi"/>
          <w:b/>
          <w:bCs/>
          <w:sz w:val="24"/>
          <w:szCs w:val="24"/>
          <w:lang w:eastAsia="de-DE"/>
        </w:rPr>
        <w:t>über die Art und Weise</w:t>
      </w:r>
      <w:r w:rsidR="004D480A">
        <w:rPr>
          <w:rFonts w:eastAsia="Times New Roman" w:cstheme="minorHAnsi"/>
          <w:b/>
          <w:bCs/>
          <w:sz w:val="24"/>
          <w:szCs w:val="24"/>
          <w:lang w:eastAsia="de-DE"/>
        </w:rPr>
        <w:t>,</w:t>
      </w:r>
      <w:r w:rsidRPr="009A204E">
        <w:rPr>
          <w:rFonts w:eastAsia="Times New Roman" w:cstheme="minorHAnsi"/>
          <w:b/>
          <w:bCs/>
          <w:sz w:val="24"/>
          <w:szCs w:val="24"/>
          <w:lang w:eastAsia="de-DE"/>
        </w:rPr>
        <w:t xml:space="preserve"> wie die Umweltbelange und die Ergebnisse der Öffentlichkeits- und Behördenbeteiligung in dem Bebauungsplan berücksichtigt wurden</w:t>
      </w:r>
    </w:p>
    <w:p w14:paraId="574821B0" w14:textId="77777777" w:rsidR="00A740AE" w:rsidRDefault="00A740AE" w:rsidP="00326728">
      <w:pPr>
        <w:ind w:right="-1136"/>
        <w:rPr>
          <w:rFonts w:eastAsia="Times New Roman" w:cstheme="minorHAnsi"/>
          <w:b/>
          <w:bCs/>
          <w:lang w:eastAsia="de-DE"/>
        </w:rPr>
      </w:pPr>
    </w:p>
    <w:p w14:paraId="05414B29" w14:textId="77777777" w:rsidR="00A740AE" w:rsidRDefault="00A740AE" w:rsidP="00326728">
      <w:pPr>
        <w:ind w:right="-1136"/>
        <w:rPr>
          <w:rFonts w:eastAsia="Times New Roman" w:cstheme="minorHAnsi"/>
          <w:b/>
          <w:bCs/>
          <w:lang w:eastAsia="de-DE"/>
        </w:rPr>
      </w:pPr>
    </w:p>
    <w:p w14:paraId="34ED1ECA" w14:textId="77777777" w:rsidR="00A740AE" w:rsidRDefault="00A740AE" w:rsidP="00326728">
      <w:pPr>
        <w:ind w:right="-1136"/>
        <w:rPr>
          <w:rFonts w:eastAsia="Times New Roman" w:cstheme="minorHAnsi"/>
          <w:b/>
          <w:bCs/>
          <w:lang w:eastAsia="de-DE"/>
        </w:rPr>
      </w:pPr>
    </w:p>
    <w:p w14:paraId="07C2FC62" w14:textId="77777777" w:rsidR="00A740AE" w:rsidRDefault="00A740AE" w:rsidP="00326728">
      <w:pPr>
        <w:ind w:right="-1136"/>
        <w:rPr>
          <w:rFonts w:eastAsia="Times New Roman" w:cstheme="minorHAnsi"/>
          <w:b/>
          <w:bCs/>
          <w:lang w:eastAsia="de-DE"/>
        </w:rPr>
      </w:pPr>
    </w:p>
    <w:p w14:paraId="3B943D70" w14:textId="77777777" w:rsidR="00262064" w:rsidRPr="00262064" w:rsidRDefault="00262064" w:rsidP="00262064">
      <w:pPr>
        <w:spacing w:after="0" w:line="240" w:lineRule="auto"/>
        <w:ind w:right="-1136"/>
        <w:jc w:val="both"/>
        <w:rPr>
          <w:rFonts w:eastAsia="Times New Roman" w:cstheme="minorHAnsi"/>
          <w:b/>
          <w:bCs/>
          <w:u w:val="single"/>
          <w:lang w:eastAsia="de-DE"/>
        </w:rPr>
      </w:pPr>
      <w:r w:rsidRPr="00262064">
        <w:rPr>
          <w:rFonts w:eastAsia="Times New Roman" w:cstheme="minorHAnsi"/>
          <w:b/>
          <w:bCs/>
          <w:u w:val="single"/>
          <w:lang w:eastAsia="de-DE"/>
        </w:rPr>
        <w:t>Rechtsgrundlage</w:t>
      </w:r>
    </w:p>
    <w:p w14:paraId="4105C4C9" w14:textId="77777777" w:rsidR="00262064" w:rsidRDefault="00262064" w:rsidP="00262064">
      <w:pPr>
        <w:spacing w:after="0" w:line="240" w:lineRule="auto"/>
        <w:ind w:right="-1136"/>
        <w:jc w:val="both"/>
        <w:rPr>
          <w:rFonts w:eastAsia="Times New Roman" w:cstheme="minorHAnsi"/>
          <w:b/>
          <w:bCs/>
          <w:lang w:eastAsia="de-DE"/>
        </w:rPr>
      </w:pPr>
    </w:p>
    <w:p w14:paraId="155B175B" w14:textId="393C7247" w:rsidR="00262064" w:rsidRPr="009A204E" w:rsidRDefault="00262064" w:rsidP="00262064">
      <w:pPr>
        <w:spacing w:after="0" w:line="240" w:lineRule="auto"/>
        <w:ind w:right="-1136"/>
        <w:jc w:val="both"/>
        <w:rPr>
          <w:rFonts w:eastAsia="Times New Roman" w:cstheme="minorHAnsi"/>
          <w:lang w:eastAsia="de-DE"/>
        </w:rPr>
      </w:pPr>
      <w:r>
        <w:rPr>
          <w:rFonts w:eastAsia="Times New Roman" w:cstheme="minorHAnsi"/>
          <w:b/>
          <w:bCs/>
          <w:lang w:eastAsia="de-DE"/>
        </w:rPr>
        <w:t xml:space="preserve">Gemäß § 10a Abs. 1 BauGB </w:t>
      </w:r>
      <w:r>
        <w:rPr>
          <w:rFonts w:eastAsia="Times New Roman" w:cstheme="minorHAnsi"/>
          <w:lang w:eastAsia="de-DE"/>
        </w:rPr>
        <w:t>ist d</w:t>
      </w:r>
      <w:r w:rsidRPr="009A204E">
        <w:rPr>
          <w:rFonts w:eastAsia="Times New Roman" w:cstheme="minorHAnsi"/>
          <w:lang w:eastAsia="de-DE"/>
        </w:rPr>
        <w:t xml:space="preserve">em in </w:t>
      </w:r>
      <w:r>
        <w:rPr>
          <w:rFonts w:eastAsia="Times New Roman" w:cstheme="minorHAnsi"/>
          <w:lang w:eastAsia="de-DE"/>
        </w:rPr>
        <w:t xml:space="preserve">Kraft getretenen Bebauungsplan </w:t>
      </w:r>
      <w:r w:rsidRPr="009A204E">
        <w:rPr>
          <w:rFonts w:eastAsia="Times New Roman" w:cstheme="minorHAnsi"/>
          <w:lang w:eastAsia="de-DE"/>
        </w:rPr>
        <w:t>eine zusammenfassende Erklärung beizufügen über die Art und Weise, wie die Umweltbelange und die Ergebnisse der Öffentlichkeits- und Behördenbeteiligung in dem Bebauungsplan berücksichtigt wurden, und über die Gründe, aus denen der Plan nach Abwägung mit den geprüften, in Betracht kommenden anderweitigen Planungsmöglichkeiten gewählt wurde.</w:t>
      </w:r>
    </w:p>
    <w:p w14:paraId="629BCAB5" w14:textId="77777777" w:rsidR="00262064" w:rsidRDefault="00262064" w:rsidP="00262064">
      <w:pPr>
        <w:spacing w:before="160" w:after="80" w:line="240" w:lineRule="auto"/>
        <w:ind w:right="-1136"/>
        <w:jc w:val="both"/>
        <w:rPr>
          <w:rFonts w:eastAsia="Times New Roman" w:cstheme="minorHAnsi"/>
          <w:b/>
          <w:bCs/>
          <w:lang w:eastAsia="de-DE"/>
        </w:rPr>
      </w:pPr>
    </w:p>
    <w:p w14:paraId="7B223BB0" w14:textId="77777777" w:rsidR="00A740AE" w:rsidRDefault="00A740AE" w:rsidP="00326728">
      <w:pPr>
        <w:ind w:right="-1136"/>
        <w:rPr>
          <w:rFonts w:eastAsia="Times New Roman" w:cstheme="minorHAnsi"/>
          <w:b/>
          <w:bCs/>
          <w:lang w:eastAsia="de-DE"/>
        </w:rPr>
      </w:pPr>
    </w:p>
    <w:p w14:paraId="6B58CFD0" w14:textId="77777777" w:rsidR="00A740AE" w:rsidRDefault="00A740AE" w:rsidP="00326728">
      <w:pPr>
        <w:ind w:right="-1136"/>
        <w:rPr>
          <w:rFonts w:eastAsia="Times New Roman" w:cstheme="minorHAnsi"/>
          <w:b/>
          <w:bCs/>
          <w:lang w:eastAsia="de-DE"/>
        </w:rPr>
      </w:pPr>
    </w:p>
    <w:p w14:paraId="49294896" w14:textId="77777777" w:rsidR="00A740AE" w:rsidRDefault="00A740AE" w:rsidP="00326728">
      <w:pPr>
        <w:ind w:right="-1136"/>
        <w:rPr>
          <w:rFonts w:eastAsia="Times New Roman" w:cstheme="minorHAnsi"/>
          <w:b/>
          <w:bCs/>
          <w:lang w:eastAsia="de-DE"/>
        </w:rPr>
      </w:pPr>
    </w:p>
    <w:p w14:paraId="4FD27D3B" w14:textId="77777777" w:rsidR="00A740AE" w:rsidRDefault="00A740AE" w:rsidP="00326728">
      <w:pPr>
        <w:ind w:right="-1136"/>
        <w:rPr>
          <w:rFonts w:eastAsia="Times New Roman" w:cstheme="minorHAnsi"/>
          <w:b/>
          <w:bCs/>
          <w:lang w:eastAsia="de-DE"/>
        </w:rPr>
      </w:pPr>
    </w:p>
    <w:p w14:paraId="591B18FF" w14:textId="77777777" w:rsidR="00A740AE" w:rsidRDefault="00A740AE" w:rsidP="00326728">
      <w:pPr>
        <w:ind w:right="-1136"/>
        <w:rPr>
          <w:rFonts w:eastAsia="Times New Roman" w:cstheme="minorHAnsi"/>
          <w:b/>
          <w:bCs/>
          <w:lang w:eastAsia="de-DE"/>
        </w:rPr>
      </w:pPr>
    </w:p>
    <w:p w14:paraId="7F9AE34C" w14:textId="77777777" w:rsidR="00A740AE" w:rsidRDefault="00A740AE" w:rsidP="00326728">
      <w:pPr>
        <w:ind w:right="-1136"/>
        <w:rPr>
          <w:rFonts w:eastAsia="Times New Roman" w:cstheme="minorHAnsi"/>
          <w:b/>
          <w:bCs/>
          <w:lang w:eastAsia="de-DE"/>
        </w:rPr>
      </w:pPr>
    </w:p>
    <w:p w14:paraId="65B3BBB9" w14:textId="77777777" w:rsidR="00A740AE" w:rsidRDefault="00A740AE" w:rsidP="00326728">
      <w:pPr>
        <w:ind w:right="-1136"/>
        <w:rPr>
          <w:rFonts w:eastAsia="Times New Roman" w:cstheme="minorHAnsi"/>
          <w:b/>
          <w:bCs/>
          <w:lang w:eastAsia="de-DE"/>
        </w:rPr>
      </w:pPr>
      <w:r>
        <w:rPr>
          <w:rFonts w:eastAsia="Times New Roman" w:cstheme="minorHAnsi"/>
          <w:b/>
          <w:bCs/>
          <w:lang w:eastAsia="de-DE"/>
        </w:rPr>
        <w:br w:type="page"/>
      </w:r>
    </w:p>
    <w:p w14:paraId="2FD16539" w14:textId="72520E00" w:rsidR="00242044" w:rsidRPr="00A740AE" w:rsidRDefault="00A740AE" w:rsidP="00326728">
      <w:pPr>
        <w:spacing w:before="160" w:after="80" w:line="240" w:lineRule="auto"/>
        <w:ind w:right="-1136"/>
        <w:jc w:val="both"/>
        <w:rPr>
          <w:rFonts w:eastAsia="Times New Roman" w:cstheme="minorHAnsi"/>
          <w:b/>
          <w:bCs/>
          <w:sz w:val="24"/>
          <w:szCs w:val="24"/>
          <w:lang w:eastAsia="de-DE"/>
        </w:rPr>
      </w:pPr>
      <w:r w:rsidRPr="00A740AE">
        <w:rPr>
          <w:rFonts w:eastAsia="Times New Roman" w:cstheme="minorHAnsi"/>
          <w:b/>
          <w:bCs/>
          <w:sz w:val="24"/>
          <w:szCs w:val="24"/>
          <w:lang w:eastAsia="de-DE"/>
        </w:rPr>
        <w:lastRenderedPageBreak/>
        <w:t>I.</w:t>
      </w:r>
      <w:r w:rsidRPr="00A740AE">
        <w:rPr>
          <w:rFonts w:eastAsia="Times New Roman" w:cstheme="minorHAnsi"/>
          <w:b/>
          <w:bCs/>
          <w:sz w:val="24"/>
          <w:szCs w:val="24"/>
          <w:lang w:eastAsia="de-DE"/>
        </w:rPr>
        <w:tab/>
        <w:t xml:space="preserve">Zur </w:t>
      </w:r>
      <w:r w:rsidR="00204EA5" w:rsidRPr="00A740AE">
        <w:rPr>
          <w:rFonts w:eastAsia="Times New Roman" w:cstheme="minorHAnsi"/>
          <w:b/>
          <w:bCs/>
          <w:sz w:val="24"/>
          <w:szCs w:val="24"/>
          <w:lang w:eastAsia="de-DE"/>
        </w:rPr>
        <w:t xml:space="preserve">Berücksichtigung der Umweltbelange im Bebauungsplan </w:t>
      </w:r>
    </w:p>
    <w:p w14:paraId="76840E51" w14:textId="5D9B386B" w:rsidR="00A740AE" w:rsidRPr="00DF787F" w:rsidRDefault="00A740AE" w:rsidP="00326728">
      <w:pPr>
        <w:spacing w:before="60" w:after="60" w:line="264" w:lineRule="auto"/>
        <w:ind w:right="-1136"/>
        <w:jc w:val="both"/>
        <w:rPr>
          <w:rFonts w:eastAsia="Times New Roman" w:cstheme="minorHAnsi"/>
          <w:lang w:eastAsia="de-DE"/>
        </w:rPr>
      </w:pPr>
      <w:r w:rsidRPr="00DF787F">
        <w:rPr>
          <w:rFonts w:eastAsia="Times New Roman" w:cstheme="minorHAnsi"/>
          <w:lang w:eastAsia="de-DE"/>
        </w:rPr>
        <w:t xml:space="preserve">Die Auswirkungen des Bebauungsplans auf Umwelt, Natur und Landschaft wurden einer Umweltprüfung unterzogen, deren Ergebnisse im Umweltbericht dargestellt und zusammengefasst sind. </w:t>
      </w:r>
      <w:r>
        <w:rPr>
          <w:rFonts w:eastAsia="Times New Roman" w:cstheme="minorHAnsi"/>
          <w:lang w:eastAsia="de-DE"/>
        </w:rPr>
        <w:t>Die Ergebnisse wurden frühzeitig im Verfahren berücksichtigt. Zusammengefasst gilt Folgendes</w:t>
      </w:r>
      <w:r w:rsidRPr="00DF787F">
        <w:rPr>
          <w:rFonts w:eastAsia="Times New Roman" w:cstheme="minorHAnsi"/>
          <w:lang w:eastAsia="de-DE"/>
        </w:rPr>
        <w:t>:</w:t>
      </w:r>
    </w:p>
    <w:p w14:paraId="495F40BA" w14:textId="11E97579" w:rsidR="009A204E" w:rsidRPr="0064185A" w:rsidRDefault="009A204E" w:rsidP="00326728">
      <w:pPr>
        <w:spacing w:before="120" w:after="60" w:line="264" w:lineRule="auto"/>
        <w:ind w:right="-1136"/>
        <w:jc w:val="both"/>
        <w:rPr>
          <w:rFonts w:eastAsia="Times New Roman" w:cstheme="minorHAnsi"/>
          <w:b/>
          <w:bCs/>
          <w:lang w:eastAsia="de-DE"/>
        </w:rPr>
      </w:pPr>
      <w:r w:rsidRPr="0064185A">
        <w:rPr>
          <w:rFonts w:eastAsia="Times New Roman" w:cstheme="minorHAnsi"/>
          <w:b/>
          <w:bCs/>
          <w:lang w:eastAsia="de-DE"/>
        </w:rPr>
        <w:t>Immissionsschutz</w:t>
      </w:r>
    </w:p>
    <w:p w14:paraId="444C566F" w14:textId="2F7B6FF3" w:rsidR="009A204E" w:rsidRDefault="009A204E" w:rsidP="00326728">
      <w:pPr>
        <w:spacing w:before="60" w:after="60" w:line="264" w:lineRule="auto"/>
        <w:ind w:right="-1136"/>
        <w:jc w:val="both"/>
        <w:rPr>
          <w:rFonts w:eastAsia="Times New Roman" w:cstheme="minorHAnsi"/>
          <w:lang w:eastAsia="de-DE"/>
        </w:rPr>
      </w:pPr>
      <w:r>
        <w:rPr>
          <w:rFonts w:eastAsia="Times New Roman" w:cstheme="minorHAnsi"/>
          <w:lang w:eastAsia="de-DE"/>
        </w:rPr>
        <w:t xml:space="preserve">Um sicherzustellen, dass das geplante Wohngebiet vom Verkehrslärm an der </w:t>
      </w:r>
      <w:proofErr w:type="spellStart"/>
      <w:r>
        <w:rPr>
          <w:rFonts w:eastAsia="Times New Roman" w:cstheme="minorHAnsi"/>
          <w:lang w:eastAsia="de-DE"/>
        </w:rPr>
        <w:t>Garzauer</w:t>
      </w:r>
      <w:proofErr w:type="spellEnd"/>
      <w:r>
        <w:rPr>
          <w:rFonts w:eastAsia="Times New Roman" w:cstheme="minorHAnsi"/>
          <w:lang w:eastAsia="de-DE"/>
        </w:rPr>
        <w:t xml:space="preserve"> Straße </w:t>
      </w:r>
      <w:r w:rsidR="00602850">
        <w:rPr>
          <w:rFonts w:eastAsia="Times New Roman" w:cstheme="minorHAnsi"/>
          <w:lang w:eastAsia="de-DE"/>
        </w:rPr>
        <w:t xml:space="preserve">und vom möglichen Gewerbelärm, der innerhalb des Gebietes entstehen kann, </w:t>
      </w:r>
      <w:r>
        <w:rPr>
          <w:rFonts w:eastAsia="Times New Roman" w:cstheme="minorHAnsi"/>
          <w:lang w:eastAsia="de-DE"/>
        </w:rPr>
        <w:t>nicht beeinträchtigt wird, ist ein Lärmschutz</w:t>
      </w:r>
      <w:r w:rsidR="003E7ACD">
        <w:rPr>
          <w:rFonts w:eastAsia="Times New Roman" w:cstheme="minorHAnsi"/>
          <w:lang w:eastAsia="de-DE"/>
        </w:rPr>
        <w:t>gutachten erstellt worden</w:t>
      </w:r>
      <w:r w:rsidR="00BE2FB1">
        <w:rPr>
          <w:rFonts w:eastAsia="Times New Roman" w:cstheme="minorHAnsi"/>
          <w:lang w:eastAsia="de-DE"/>
        </w:rPr>
        <w:t xml:space="preserve"> (Begründung zum B- Plan S. 12 ff)</w:t>
      </w:r>
      <w:r w:rsidR="003E7ACD">
        <w:rPr>
          <w:rFonts w:eastAsia="Times New Roman" w:cstheme="minorHAnsi"/>
          <w:lang w:eastAsia="de-DE"/>
        </w:rPr>
        <w:t xml:space="preserve">. </w:t>
      </w:r>
      <w:r w:rsidR="00602850">
        <w:rPr>
          <w:rFonts w:eastAsia="Times New Roman" w:cstheme="minorHAnsi"/>
          <w:lang w:eastAsia="de-DE"/>
        </w:rPr>
        <w:t xml:space="preserve">Die Ergebnisse zeigen, dass </w:t>
      </w:r>
      <w:r w:rsidR="00F135D8">
        <w:rPr>
          <w:rFonts w:eastAsia="Times New Roman" w:cstheme="minorHAnsi"/>
          <w:lang w:eastAsia="de-DE"/>
        </w:rPr>
        <w:t>„</w:t>
      </w:r>
      <w:r w:rsidR="00602850" w:rsidRPr="00FF7D99">
        <w:rPr>
          <w:rFonts w:ascii="Calibri" w:eastAsia="Calibri" w:hAnsi="Calibri" w:cs="Calibri"/>
          <w:i/>
          <w:iCs/>
        </w:rPr>
        <w:t>Die für die städtebauliche Planung geltenden Orientierungswerte der DIN 18005 für Verkehrsgeräusche</w:t>
      </w:r>
      <w:r w:rsidR="00602850">
        <w:rPr>
          <w:rFonts w:ascii="Calibri" w:eastAsia="Calibri" w:hAnsi="Calibri" w:cs="Calibri"/>
        </w:rPr>
        <w:t xml:space="preserve"> </w:t>
      </w:r>
      <w:r w:rsidR="00F135D8">
        <w:rPr>
          <w:rFonts w:ascii="Calibri" w:eastAsia="Calibri" w:hAnsi="Calibri" w:cs="Calibri"/>
        </w:rPr>
        <w:t xml:space="preserve">… werden … </w:t>
      </w:r>
      <w:r w:rsidR="00F135D8" w:rsidRPr="0083050C">
        <w:rPr>
          <w:rFonts w:ascii="Calibri" w:eastAsia="Calibri" w:hAnsi="Calibri" w:cs="Calibri"/>
          <w:i/>
          <w:iCs/>
        </w:rPr>
        <w:t>an fast allen</w:t>
      </w:r>
      <w:r w:rsidR="00F135D8">
        <w:rPr>
          <w:rFonts w:ascii="Calibri" w:eastAsia="Calibri" w:hAnsi="Calibri" w:cs="Calibri"/>
        </w:rPr>
        <w:t xml:space="preserve"> </w:t>
      </w:r>
      <w:r w:rsidR="00602850" w:rsidRPr="00FF7D99">
        <w:rPr>
          <w:rFonts w:ascii="Calibri" w:eastAsia="Calibri" w:hAnsi="Calibri" w:cs="Calibri"/>
          <w:i/>
          <w:iCs/>
        </w:rPr>
        <w:t>Baugrenzen eingehalten. Eine textliche Festsetzung zum passiven Schallschutz ist in diesen Fällen nicht notwendig</w:t>
      </w:r>
      <w:r w:rsidR="0083050C">
        <w:rPr>
          <w:rFonts w:ascii="Calibri" w:eastAsia="Calibri" w:hAnsi="Calibri" w:cs="Calibri"/>
          <w:i/>
          <w:iCs/>
        </w:rPr>
        <w:t>.</w:t>
      </w:r>
    </w:p>
    <w:p w14:paraId="79655D06" w14:textId="3558E53D" w:rsidR="009A204E" w:rsidRDefault="0083050C" w:rsidP="00326728">
      <w:pPr>
        <w:spacing w:before="60" w:after="60" w:line="264" w:lineRule="auto"/>
        <w:ind w:right="-1136"/>
        <w:jc w:val="both"/>
        <w:rPr>
          <w:rFonts w:eastAsia="Times New Roman" w:cstheme="minorHAnsi"/>
          <w:lang w:eastAsia="de-DE"/>
        </w:rPr>
      </w:pPr>
      <w:r>
        <w:rPr>
          <w:rFonts w:eastAsia="Times New Roman" w:cstheme="minorHAnsi"/>
          <w:lang w:eastAsia="de-DE"/>
        </w:rPr>
        <w:t xml:space="preserve">Für das Mischgebiet MI 1 wird ein passiver Schallschutz mit einer textlichen Festsetzung angeordnet. Für das Gewerbegebiet </w:t>
      </w:r>
      <w:proofErr w:type="spellStart"/>
      <w:r>
        <w:rPr>
          <w:rFonts w:eastAsia="Times New Roman" w:cstheme="minorHAnsi"/>
          <w:lang w:eastAsia="de-DE"/>
        </w:rPr>
        <w:t>GEe</w:t>
      </w:r>
      <w:proofErr w:type="spellEnd"/>
      <w:r>
        <w:rPr>
          <w:rFonts w:eastAsia="Times New Roman" w:cstheme="minorHAnsi"/>
          <w:lang w:eastAsia="de-DE"/>
        </w:rPr>
        <w:t xml:space="preserve"> 2 werden geringfügige Überschreitungen der Richtwerte der TA Lärm </w:t>
      </w:r>
      <w:r w:rsidR="0064185A">
        <w:rPr>
          <w:rFonts w:eastAsia="Times New Roman" w:cstheme="minorHAnsi"/>
          <w:lang w:eastAsia="de-DE"/>
        </w:rPr>
        <w:t>abgeschätzt. Hier wird eine Einzelfallbetrachtung im Kontext von Baugenehmigungen empfohlen.</w:t>
      </w:r>
    </w:p>
    <w:p w14:paraId="7821F69D" w14:textId="1DB3E66E" w:rsidR="00DF787F" w:rsidRPr="00A740AE" w:rsidRDefault="00DF787F" w:rsidP="00326728">
      <w:pPr>
        <w:pStyle w:val="Textbody"/>
        <w:spacing w:before="60" w:after="60" w:line="264" w:lineRule="auto"/>
        <w:ind w:right="-1136"/>
        <w:jc w:val="both"/>
        <w:rPr>
          <w:rFonts w:ascii="Calibri" w:eastAsia="Calibri" w:hAnsi="Calibri" w:cs="Calibri"/>
          <w:b/>
          <w:bCs/>
        </w:rPr>
      </w:pPr>
      <w:r w:rsidRPr="00A740AE">
        <w:rPr>
          <w:rFonts w:ascii="Calibri" w:eastAsia="Calibri" w:hAnsi="Calibri" w:cs="Calibri"/>
          <w:b/>
          <w:bCs/>
        </w:rPr>
        <w:t xml:space="preserve">Pflanzen </w:t>
      </w:r>
      <w:r w:rsidR="00A740AE" w:rsidRPr="00A740AE">
        <w:rPr>
          <w:rFonts w:ascii="Calibri" w:eastAsia="Calibri" w:hAnsi="Calibri" w:cs="Calibri"/>
          <w:b/>
          <w:bCs/>
        </w:rPr>
        <w:t>und Tiere</w:t>
      </w:r>
    </w:p>
    <w:p w14:paraId="49FED846" w14:textId="77777777" w:rsidR="00DF787F" w:rsidRPr="00A740AE" w:rsidRDefault="00DF787F" w:rsidP="00326728">
      <w:pPr>
        <w:pStyle w:val="Textbody"/>
        <w:spacing w:before="60" w:after="60" w:line="264" w:lineRule="auto"/>
        <w:ind w:right="-1136"/>
        <w:jc w:val="both"/>
        <w:rPr>
          <w:rFonts w:ascii="Calibri" w:eastAsia="Calibri" w:hAnsi="Calibri" w:cs="Calibri"/>
        </w:rPr>
      </w:pPr>
      <w:r w:rsidRPr="00A740AE">
        <w:rPr>
          <w:rFonts w:ascii="Calibri" w:eastAsia="Calibri" w:hAnsi="Calibri" w:cs="Calibri"/>
        </w:rPr>
        <w:t xml:space="preserve">Zur Ermittlung und Bewertung des Bestandes wurden für das Plangebiet eine Kartierung der Biotoptypen sowie detaillierte Aufnahmen der Brutvögel-, Reptilien- und Fledermausvorkommen angefertigt. </w:t>
      </w:r>
    </w:p>
    <w:p w14:paraId="50BBDD5B" w14:textId="2365A340" w:rsidR="00DF787F" w:rsidRPr="00A740AE" w:rsidRDefault="00DF787F" w:rsidP="00326728">
      <w:pPr>
        <w:pStyle w:val="Textbody"/>
        <w:spacing w:before="60" w:after="60" w:line="264" w:lineRule="auto"/>
        <w:ind w:right="-1136"/>
        <w:jc w:val="both"/>
        <w:rPr>
          <w:rFonts w:ascii="Calibri" w:eastAsia="Calibri" w:hAnsi="Calibri" w:cs="Calibri"/>
        </w:rPr>
      </w:pPr>
      <w:r w:rsidRPr="00A740AE">
        <w:rPr>
          <w:rFonts w:ascii="Calibri" w:eastAsia="Calibri" w:hAnsi="Calibri" w:cs="Calibri"/>
        </w:rPr>
        <w:t>Insgesamt ist der überwiegende Teil der vorgefundenen Biotope von vergleichsweise geringem naturschutzfachlichem Wert. Einzige Ausnahme bildet im Westen des Plangebietes ein Alteichenbestand (&gt; 100 Jahre) als Bestandteil eines größeren Mischwaldkomplexes. Verbleibende Bäume dieses Bestandes werden durch Festsetzung Nr. 27 des B-Plans geschützt.</w:t>
      </w:r>
    </w:p>
    <w:p w14:paraId="5A80FE7E" w14:textId="69B89D3F" w:rsidR="00DF787F" w:rsidRPr="00A740AE" w:rsidRDefault="00D72506" w:rsidP="00326728">
      <w:pPr>
        <w:pStyle w:val="Textbody"/>
        <w:spacing w:before="60" w:after="60" w:line="264" w:lineRule="auto"/>
        <w:ind w:right="-1136"/>
        <w:jc w:val="both"/>
        <w:rPr>
          <w:rFonts w:ascii="Calibri" w:eastAsia="Calibri" w:hAnsi="Calibri" w:cs="Calibri"/>
        </w:rPr>
      </w:pPr>
      <w:r>
        <w:rPr>
          <w:rFonts w:ascii="Calibri" w:eastAsia="Calibri" w:hAnsi="Calibri" w:cs="Calibri"/>
          <w:b/>
          <w:bCs/>
        </w:rPr>
        <w:t>A</w:t>
      </w:r>
      <w:r w:rsidR="00DF787F" w:rsidRPr="00A740AE">
        <w:rPr>
          <w:rFonts w:ascii="Calibri" w:eastAsia="Calibri" w:hAnsi="Calibri" w:cs="Calibri"/>
        </w:rPr>
        <w:t xml:space="preserve">ls streng geschützte Tierarten </w:t>
      </w:r>
      <w:r>
        <w:rPr>
          <w:rFonts w:ascii="Calibri" w:eastAsia="Calibri" w:hAnsi="Calibri" w:cs="Calibri"/>
        </w:rPr>
        <w:t xml:space="preserve">sind </w:t>
      </w:r>
      <w:r w:rsidR="00DF787F" w:rsidRPr="00A740AE">
        <w:rPr>
          <w:rFonts w:ascii="Calibri" w:eastAsia="Calibri" w:hAnsi="Calibri" w:cs="Calibri"/>
        </w:rPr>
        <w:t xml:space="preserve">Zauneidechse und Fledermaus </w:t>
      </w:r>
      <w:r>
        <w:rPr>
          <w:rFonts w:ascii="Calibri" w:eastAsia="Calibri" w:hAnsi="Calibri" w:cs="Calibri"/>
        </w:rPr>
        <w:t xml:space="preserve">vom Plan </w:t>
      </w:r>
      <w:r w:rsidR="00DF787F" w:rsidRPr="00A740AE">
        <w:rPr>
          <w:rFonts w:ascii="Calibri" w:eastAsia="Calibri" w:hAnsi="Calibri" w:cs="Calibri"/>
        </w:rPr>
        <w:t>betroffen.</w:t>
      </w:r>
    </w:p>
    <w:p w14:paraId="1870A64C" w14:textId="6A75609C" w:rsidR="00DF787F" w:rsidRPr="00A740AE" w:rsidRDefault="00DF787F" w:rsidP="00326728">
      <w:pPr>
        <w:pStyle w:val="Textbody"/>
        <w:spacing w:before="60" w:after="60" w:line="264" w:lineRule="auto"/>
        <w:ind w:right="-1136"/>
        <w:jc w:val="both"/>
        <w:rPr>
          <w:rFonts w:ascii="Calibri" w:eastAsia="Calibri" w:hAnsi="Calibri" w:cs="Calibri"/>
        </w:rPr>
      </w:pPr>
      <w:r w:rsidRPr="00A740AE">
        <w:rPr>
          <w:rFonts w:ascii="Calibri" w:eastAsia="Calibri" w:hAnsi="Calibri" w:cs="Calibri"/>
        </w:rPr>
        <w:t xml:space="preserve">Für die vorgefundene Zauneidechsenpopulation ist als Vermeidungsmaßnahme eine strukturelle Vergrämung (siehe Vermeidungsmaßnahme V1) und Umsiedelung auf neu geschaffenen bzw. aufgewerteten </w:t>
      </w:r>
      <w:proofErr w:type="spellStart"/>
      <w:r w:rsidRPr="00A740AE">
        <w:rPr>
          <w:rFonts w:ascii="Calibri" w:eastAsia="Calibri" w:hAnsi="Calibri" w:cs="Calibri"/>
        </w:rPr>
        <w:t>Habitatflächen</w:t>
      </w:r>
      <w:proofErr w:type="spellEnd"/>
      <w:r w:rsidRPr="00A740AE">
        <w:rPr>
          <w:rFonts w:ascii="Calibri" w:eastAsia="Calibri" w:hAnsi="Calibri" w:cs="Calibri"/>
        </w:rPr>
        <w:t xml:space="preserve"> außerhalb des Eingriffs (siehe Maßnahme M1) vorgesehen. Mit der Festsetzung der „Umgrenzung von Flächen zur Schaffung von </w:t>
      </w:r>
      <w:proofErr w:type="spellStart"/>
      <w:r w:rsidRPr="00A740AE">
        <w:rPr>
          <w:rFonts w:ascii="Calibri" w:eastAsia="Calibri" w:hAnsi="Calibri" w:cs="Calibri"/>
        </w:rPr>
        <w:t>Ersatzhabitatflächen</w:t>
      </w:r>
      <w:proofErr w:type="spellEnd"/>
      <w:r w:rsidRPr="00A740AE">
        <w:rPr>
          <w:rFonts w:ascii="Calibri" w:eastAsia="Calibri" w:hAnsi="Calibri" w:cs="Calibri"/>
        </w:rPr>
        <w:t xml:space="preserve"> für die Zauneidechsenpopulation“ wird sichergestellt, dass die Zauneidechsen die Flächen der CEF-Maßnahme selbstständig erreichen können. Eine Umsiedlung ist hier nicht nötig und damit auch keine artenschutzrechtliche Ausnahmegenehmigung. </w:t>
      </w:r>
    </w:p>
    <w:p w14:paraId="34A8732C" w14:textId="77777777" w:rsidR="00DF787F" w:rsidRPr="00A740AE" w:rsidRDefault="00DF787F" w:rsidP="00326728">
      <w:pPr>
        <w:pStyle w:val="Textbody"/>
        <w:spacing w:before="60" w:after="60" w:line="264" w:lineRule="auto"/>
        <w:ind w:right="-1136"/>
        <w:jc w:val="both"/>
        <w:rPr>
          <w:rFonts w:ascii="Calibri" w:eastAsia="Calibri" w:hAnsi="Calibri" w:cs="Calibri"/>
        </w:rPr>
      </w:pPr>
      <w:r w:rsidRPr="00A740AE">
        <w:rPr>
          <w:rFonts w:ascii="Calibri" w:eastAsia="Calibri" w:hAnsi="Calibri" w:cs="Calibri"/>
        </w:rPr>
        <w:t xml:space="preserve">Innerhalb des Plangebietes wird ein ehemaliger unterirdischer Reinwassertank von einzelnen Exemplaren der Gattung Chiroptera (Fledertiere) als Winterquartier genutzt. Da der Tank durch die vorgesehene Bebauung im Plangebiet nicht berührt ist, kann er erhalten werden und weiterhin als Fledermausquartier dienen. </w:t>
      </w:r>
    </w:p>
    <w:p w14:paraId="3D57365A" w14:textId="77777777" w:rsidR="00DF787F" w:rsidRPr="00A740AE" w:rsidRDefault="00DF787F" w:rsidP="00326728">
      <w:pPr>
        <w:pStyle w:val="Textbody"/>
        <w:spacing w:before="60" w:after="60" w:line="264" w:lineRule="auto"/>
        <w:ind w:right="-1136"/>
        <w:jc w:val="both"/>
        <w:rPr>
          <w:rFonts w:ascii="Calibri" w:eastAsia="Calibri" w:hAnsi="Calibri" w:cs="Calibri"/>
          <w:b/>
          <w:bCs/>
        </w:rPr>
      </w:pPr>
      <w:r w:rsidRPr="00A740AE">
        <w:rPr>
          <w:rFonts w:ascii="Calibri" w:eastAsia="Calibri" w:hAnsi="Calibri" w:cs="Calibri"/>
          <w:b/>
          <w:bCs/>
        </w:rPr>
        <w:t xml:space="preserve">Artenschutz </w:t>
      </w:r>
    </w:p>
    <w:p w14:paraId="55CCEC97" w14:textId="3BD8C11C" w:rsidR="00DF787F" w:rsidRPr="00A740AE" w:rsidRDefault="00DF787F" w:rsidP="00326728">
      <w:pPr>
        <w:pStyle w:val="Textbody"/>
        <w:spacing w:before="60" w:after="60" w:line="264" w:lineRule="auto"/>
        <w:ind w:right="-1136"/>
        <w:jc w:val="both"/>
        <w:rPr>
          <w:rFonts w:ascii="Calibri" w:eastAsia="Calibri" w:hAnsi="Calibri" w:cs="Calibri"/>
        </w:rPr>
      </w:pPr>
      <w:r w:rsidRPr="00A740AE">
        <w:rPr>
          <w:rFonts w:ascii="Calibri" w:eastAsia="Calibri" w:hAnsi="Calibri" w:cs="Calibri"/>
        </w:rPr>
        <w:t xml:space="preserve">Die Artenschutzrechtlichen Verbotstatbestände des § 44 Abs. 1 Nr. 1 bis 3 BNatSchG werden der Vollzugsfähigkeit des B-Planes nicht entgegenstehen (siehe </w:t>
      </w:r>
      <w:r w:rsidR="00D72506">
        <w:rPr>
          <w:rFonts w:ascii="Calibri" w:eastAsia="Calibri" w:hAnsi="Calibri" w:cs="Calibri"/>
        </w:rPr>
        <w:t>oben</w:t>
      </w:r>
      <w:r w:rsidRPr="00A740AE">
        <w:rPr>
          <w:rFonts w:ascii="Calibri" w:eastAsia="Calibri" w:hAnsi="Calibri" w:cs="Calibri"/>
        </w:rPr>
        <w:t>).</w:t>
      </w:r>
    </w:p>
    <w:p w14:paraId="319D4B27" w14:textId="5FEEA070" w:rsidR="00DF787F" w:rsidRPr="00A740AE" w:rsidRDefault="00D72506" w:rsidP="00326728">
      <w:pPr>
        <w:pStyle w:val="Textbody"/>
        <w:spacing w:before="60" w:after="60" w:line="264" w:lineRule="auto"/>
        <w:ind w:right="-1136"/>
        <w:jc w:val="both"/>
        <w:rPr>
          <w:rFonts w:ascii="Calibri" w:eastAsia="Calibri" w:hAnsi="Calibri" w:cs="Calibri"/>
          <w:b/>
          <w:bCs/>
        </w:rPr>
      </w:pPr>
      <w:r>
        <w:rPr>
          <w:rFonts w:ascii="Calibri" w:eastAsia="Calibri" w:hAnsi="Calibri" w:cs="Calibri"/>
          <w:b/>
          <w:bCs/>
        </w:rPr>
        <w:t>B</w:t>
      </w:r>
      <w:r w:rsidR="00DF787F" w:rsidRPr="00A740AE">
        <w:rPr>
          <w:rFonts w:ascii="Calibri" w:eastAsia="Calibri" w:hAnsi="Calibri" w:cs="Calibri"/>
          <w:b/>
          <w:bCs/>
        </w:rPr>
        <w:t>oden und Fläche</w:t>
      </w:r>
    </w:p>
    <w:p w14:paraId="7A58D907" w14:textId="77777777" w:rsidR="00DF787F" w:rsidRPr="00A740AE" w:rsidRDefault="00DF787F" w:rsidP="00326728">
      <w:pPr>
        <w:pStyle w:val="Textbody"/>
        <w:spacing w:before="60" w:after="60" w:line="264" w:lineRule="auto"/>
        <w:ind w:right="-1136"/>
        <w:jc w:val="both"/>
        <w:rPr>
          <w:rFonts w:ascii="Calibri" w:eastAsia="Calibri" w:hAnsi="Calibri" w:cs="Calibri"/>
        </w:rPr>
      </w:pPr>
      <w:r w:rsidRPr="00A740AE">
        <w:rPr>
          <w:rFonts w:ascii="Calibri" w:eastAsia="Calibri" w:hAnsi="Calibri" w:cs="Calibri"/>
        </w:rPr>
        <w:t>Der Anteil an versiegelten Flächen beträgt im Bestand ca. 44 % (12.958,5 m²). Nach den Festsetzungen des B</w:t>
      </w:r>
      <w:r w:rsidRPr="00A740AE">
        <w:rPr>
          <w:rFonts w:ascii="Calibri" w:eastAsia="Calibri" w:hAnsi="Calibri" w:cs="Calibri"/>
        </w:rPr>
        <w:noBreakHyphen/>
        <w:t xml:space="preserve">Planes ist eine höhere Bodenversiegelung zulässig. Bei Durchführung des Bebauungsplanes kann es zu einer Neuversiegelung von max. 3.507 m² kommen. Dieser Eingriff kann nur zum Teil innerhalb des Geltungsbereiches kompensiert werden. Deswegen werden zwei </w:t>
      </w:r>
      <w:r w:rsidRPr="00A740AE">
        <w:rPr>
          <w:rFonts w:ascii="Calibri" w:eastAsia="Calibri" w:hAnsi="Calibri" w:cs="Calibri"/>
        </w:rPr>
        <w:lastRenderedPageBreak/>
        <w:t xml:space="preserve">Flächen des benachbarten Waldgebietes (im Eigentum des Vorhabenträgers) als zu entsiegelnde Ersatzflächen zugeordnet (siehe Maßnahme M2). </w:t>
      </w:r>
    </w:p>
    <w:p w14:paraId="1211E496" w14:textId="77777777" w:rsidR="00DF787F" w:rsidRPr="00A740AE" w:rsidRDefault="00DF787F" w:rsidP="00326728">
      <w:pPr>
        <w:pStyle w:val="Textbody"/>
        <w:spacing w:before="60" w:after="60" w:line="264" w:lineRule="auto"/>
        <w:ind w:right="-1136"/>
        <w:jc w:val="both"/>
        <w:rPr>
          <w:rFonts w:ascii="Calibri" w:eastAsia="Calibri" w:hAnsi="Calibri" w:cs="Calibri"/>
          <w:b/>
          <w:bCs/>
        </w:rPr>
      </w:pPr>
      <w:r w:rsidRPr="00A740AE">
        <w:rPr>
          <w:rFonts w:ascii="Calibri" w:eastAsia="Calibri" w:hAnsi="Calibri" w:cs="Calibri"/>
          <w:b/>
          <w:bCs/>
        </w:rPr>
        <w:t xml:space="preserve">Weitere Umweltbelange </w:t>
      </w:r>
    </w:p>
    <w:p w14:paraId="537AFF7F" w14:textId="77777777" w:rsidR="00DF787F" w:rsidRPr="00A740AE" w:rsidRDefault="00DF787F" w:rsidP="00326728">
      <w:pPr>
        <w:pStyle w:val="Textbody"/>
        <w:spacing w:before="60" w:after="60" w:line="264" w:lineRule="auto"/>
        <w:ind w:right="-1136"/>
        <w:jc w:val="both"/>
        <w:rPr>
          <w:rFonts w:ascii="Calibri" w:eastAsia="Calibri" w:hAnsi="Calibri" w:cs="Calibri"/>
        </w:rPr>
      </w:pPr>
      <w:r w:rsidRPr="00A740AE">
        <w:rPr>
          <w:rFonts w:ascii="Calibri" w:eastAsia="Calibri" w:hAnsi="Calibri" w:cs="Calibri"/>
        </w:rPr>
        <w:t>Die Umweltbelange Grund- und Oberflächenwasser, Klima und Luft, Kultur- und sonstige Sachgüter, sachgerechter Umgang mit Abwässern und Abfällen sind nicht in nennenswerter Weise betroffen.</w:t>
      </w:r>
    </w:p>
    <w:p w14:paraId="30A87D09" w14:textId="254D93AE" w:rsidR="00DF787F" w:rsidRPr="00A740AE" w:rsidRDefault="00DF787F" w:rsidP="00326728">
      <w:pPr>
        <w:pStyle w:val="Textbody"/>
        <w:spacing w:before="60" w:after="60" w:line="264" w:lineRule="auto"/>
        <w:ind w:right="-1136"/>
        <w:jc w:val="both"/>
        <w:rPr>
          <w:rFonts w:ascii="Calibri" w:eastAsia="Calibri" w:hAnsi="Calibri" w:cs="Calibri"/>
          <w:b/>
          <w:bCs/>
        </w:rPr>
      </w:pPr>
      <w:r w:rsidRPr="00A740AE">
        <w:rPr>
          <w:rFonts w:ascii="Calibri" w:eastAsia="Calibri" w:hAnsi="Calibri" w:cs="Calibri"/>
          <w:b/>
          <w:bCs/>
        </w:rPr>
        <w:t>Zusammenfassende Bewertung</w:t>
      </w:r>
      <w:r w:rsidR="00D72506">
        <w:rPr>
          <w:rFonts w:ascii="Calibri" w:eastAsia="Calibri" w:hAnsi="Calibri" w:cs="Calibri"/>
          <w:b/>
          <w:bCs/>
        </w:rPr>
        <w:t xml:space="preserve"> </w:t>
      </w:r>
      <w:r w:rsidR="00262064">
        <w:rPr>
          <w:rFonts w:ascii="Calibri" w:eastAsia="Calibri" w:hAnsi="Calibri" w:cs="Calibri"/>
          <w:b/>
          <w:bCs/>
        </w:rPr>
        <w:t>der Berücksichtigung</w:t>
      </w:r>
      <w:r w:rsidR="00D72506">
        <w:rPr>
          <w:rFonts w:ascii="Calibri" w:eastAsia="Calibri" w:hAnsi="Calibri" w:cs="Calibri"/>
          <w:b/>
          <w:bCs/>
        </w:rPr>
        <w:t xml:space="preserve"> de</w:t>
      </w:r>
      <w:r w:rsidR="00262064">
        <w:rPr>
          <w:rFonts w:ascii="Calibri" w:eastAsia="Calibri" w:hAnsi="Calibri" w:cs="Calibri"/>
          <w:b/>
          <w:bCs/>
        </w:rPr>
        <w:t>r</w:t>
      </w:r>
      <w:r w:rsidR="00D72506">
        <w:rPr>
          <w:rFonts w:ascii="Calibri" w:eastAsia="Calibri" w:hAnsi="Calibri" w:cs="Calibri"/>
          <w:b/>
          <w:bCs/>
        </w:rPr>
        <w:t xml:space="preserve"> Umwel</w:t>
      </w:r>
      <w:r w:rsidR="00326728">
        <w:rPr>
          <w:rFonts w:ascii="Calibri" w:eastAsia="Calibri" w:hAnsi="Calibri" w:cs="Calibri"/>
          <w:b/>
          <w:bCs/>
        </w:rPr>
        <w:t>t</w:t>
      </w:r>
      <w:r w:rsidR="00262064">
        <w:rPr>
          <w:rFonts w:ascii="Calibri" w:eastAsia="Calibri" w:hAnsi="Calibri" w:cs="Calibri"/>
          <w:b/>
          <w:bCs/>
        </w:rPr>
        <w:t>belange</w:t>
      </w:r>
    </w:p>
    <w:p w14:paraId="4AD18A33" w14:textId="77777777" w:rsidR="00DF787F" w:rsidRPr="00A740AE" w:rsidRDefault="00DF787F" w:rsidP="00326728">
      <w:pPr>
        <w:pStyle w:val="Textbody"/>
        <w:spacing w:before="60" w:after="60" w:line="264" w:lineRule="auto"/>
        <w:ind w:right="-1136"/>
        <w:jc w:val="both"/>
        <w:rPr>
          <w:rFonts w:ascii="Calibri" w:eastAsia="Calibri" w:hAnsi="Calibri" w:cs="Calibri"/>
        </w:rPr>
      </w:pPr>
      <w:r w:rsidRPr="00A740AE">
        <w:rPr>
          <w:rFonts w:ascii="Calibri" w:eastAsia="Calibri" w:hAnsi="Calibri" w:cs="Calibri"/>
        </w:rPr>
        <w:t>Bei der Umsetzung des B-Plans Nr. 55/14 „</w:t>
      </w:r>
      <w:proofErr w:type="spellStart"/>
      <w:r w:rsidRPr="00A740AE">
        <w:rPr>
          <w:rFonts w:ascii="Calibri" w:eastAsia="Calibri" w:hAnsi="Calibri" w:cs="Calibri"/>
        </w:rPr>
        <w:t>Garzauer</w:t>
      </w:r>
      <w:proofErr w:type="spellEnd"/>
      <w:r w:rsidRPr="00A740AE">
        <w:rPr>
          <w:rFonts w:ascii="Calibri" w:eastAsia="Calibri" w:hAnsi="Calibri" w:cs="Calibri"/>
        </w:rPr>
        <w:t xml:space="preserve"> Straße“ der Stadt Strausberg sind nach Durchführung der im B-Plan festgesetzten und im Umweltbericht ergänzten Vermeidungs- und Kompensationsmaßnahmen keine erheblich nachteiligen Umweltauswirkungen auf die Umweltbelange des § 1 Abs. 6 Nr. 7 BauGB zu erwarten. Das Eintreten artenschutzrechtlicher Verbote ist nicht zu erwarten. </w:t>
      </w:r>
    </w:p>
    <w:p w14:paraId="63AFAEC0" w14:textId="0F8FEFDF" w:rsidR="00DF787F" w:rsidRPr="00A740AE" w:rsidRDefault="00DF787F" w:rsidP="00326728">
      <w:pPr>
        <w:spacing w:before="60" w:after="60" w:line="264" w:lineRule="auto"/>
        <w:ind w:right="-1136"/>
        <w:jc w:val="both"/>
        <w:rPr>
          <w:rFonts w:eastAsia="Times New Roman" w:cstheme="minorHAnsi"/>
          <w:lang w:eastAsia="de-DE"/>
        </w:rPr>
      </w:pPr>
      <w:r w:rsidRPr="00A740AE">
        <w:rPr>
          <w:rFonts w:eastAsia="Times New Roman" w:cstheme="minorHAnsi"/>
          <w:lang w:eastAsia="de-DE"/>
        </w:rPr>
        <w:t xml:space="preserve">Die Sicherung dieser Maßnahmen erfolgt über eine Eintragung in das Grundbuch, durch Regelungen im Rahmen des städtebaulichen Vertrags sowie durch die Darstellungen und Festsetzungen </w:t>
      </w:r>
      <w:r w:rsidR="004D480A">
        <w:rPr>
          <w:rFonts w:eastAsia="Times New Roman" w:cstheme="minorHAnsi"/>
          <w:lang w:eastAsia="de-DE"/>
        </w:rPr>
        <w:t>in</w:t>
      </w:r>
      <w:r w:rsidRPr="00A740AE">
        <w:rPr>
          <w:rFonts w:eastAsia="Times New Roman" w:cstheme="minorHAnsi"/>
          <w:lang w:eastAsia="de-DE"/>
        </w:rPr>
        <w:t xml:space="preserve"> der Planzeichnung zum Bebauungsplan.</w:t>
      </w:r>
    </w:p>
    <w:p w14:paraId="7FB585E1" w14:textId="26E59573" w:rsidR="00242044" w:rsidRPr="00D72506" w:rsidRDefault="00D72506" w:rsidP="00326728">
      <w:pPr>
        <w:spacing w:before="160" w:after="80" w:line="240" w:lineRule="auto"/>
        <w:ind w:right="-1136"/>
        <w:jc w:val="both"/>
        <w:rPr>
          <w:rFonts w:eastAsia="Times New Roman" w:cstheme="minorHAnsi"/>
          <w:b/>
          <w:bCs/>
          <w:sz w:val="24"/>
          <w:szCs w:val="24"/>
          <w:lang w:eastAsia="de-DE"/>
        </w:rPr>
      </w:pPr>
      <w:r w:rsidRPr="00D72506">
        <w:rPr>
          <w:rFonts w:eastAsia="Times New Roman" w:cstheme="minorHAnsi"/>
          <w:b/>
          <w:bCs/>
          <w:sz w:val="24"/>
          <w:szCs w:val="24"/>
          <w:lang w:eastAsia="de-DE"/>
        </w:rPr>
        <w:t xml:space="preserve">II. Zur </w:t>
      </w:r>
      <w:r w:rsidR="00204EA5" w:rsidRPr="00D72506">
        <w:rPr>
          <w:rFonts w:eastAsia="Times New Roman" w:cstheme="minorHAnsi"/>
          <w:b/>
          <w:bCs/>
          <w:sz w:val="24"/>
          <w:szCs w:val="24"/>
          <w:lang w:eastAsia="de-DE"/>
        </w:rPr>
        <w:t>Berücksichtigung der Ergebnisse der Öffentlichkeits- und Behördenbeteiligung im Bebauungsplan</w:t>
      </w:r>
    </w:p>
    <w:p w14:paraId="57998646" w14:textId="524889BB" w:rsidR="00CF6D98" w:rsidRPr="00A740AE" w:rsidRDefault="00CF6D98" w:rsidP="00326728">
      <w:pPr>
        <w:spacing w:before="60" w:after="60" w:line="264" w:lineRule="auto"/>
        <w:ind w:right="-1136"/>
        <w:jc w:val="both"/>
        <w:rPr>
          <w:rFonts w:eastAsia="Times New Roman" w:cstheme="minorHAnsi"/>
          <w:lang w:eastAsia="de-DE"/>
        </w:rPr>
      </w:pPr>
      <w:r w:rsidRPr="00A740AE">
        <w:rPr>
          <w:rFonts w:eastAsia="Times New Roman" w:cstheme="minorHAnsi"/>
          <w:lang w:eastAsia="de-DE"/>
        </w:rPr>
        <w:t xml:space="preserve">Die </w:t>
      </w:r>
      <w:r w:rsidRPr="00A740AE">
        <w:rPr>
          <w:rFonts w:eastAsia="Times New Roman" w:cstheme="minorHAnsi"/>
          <w:u w:val="single"/>
          <w:lang w:eastAsia="de-DE"/>
        </w:rPr>
        <w:t>frühzeitige Behördenbeteiligung</w:t>
      </w:r>
      <w:r w:rsidRPr="00A740AE">
        <w:rPr>
          <w:rFonts w:eastAsia="Times New Roman" w:cstheme="minorHAnsi"/>
          <w:lang w:eastAsia="de-DE"/>
        </w:rPr>
        <w:t xml:space="preserve"> gem. § 4 Abs. 1 BauGB fand im August 2014 und September 2014 statt. In Folge der Ergebnisse der </w:t>
      </w:r>
      <w:r w:rsidRPr="00D72506">
        <w:rPr>
          <w:rFonts w:eastAsia="Times New Roman" w:cstheme="minorHAnsi"/>
          <w:lang w:eastAsia="de-DE"/>
        </w:rPr>
        <w:t>frühzeitigen Beteiligungen</w:t>
      </w:r>
      <w:r w:rsidRPr="00A740AE">
        <w:rPr>
          <w:rFonts w:eastAsia="Times New Roman" w:cstheme="minorHAnsi"/>
          <w:lang w:eastAsia="de-DE"/>
        </w:rPr>
        <w:t xml:space="preserve">, sowie aufgrund der geänderten Entwicklungsperspektive kam es zur Reduzierung des Geltungsbereichs des Bebauungsplans und zur Änderung in die vorliegende Form. </w:t>
      </w:r>
    </w:p>
    <w:p w14:paraId="59587D18" w14:textId="31D15E8B" w:rsidR="00797F6B" w:rsidRPr="00A740AE" w:rsidRDefault="00797F6B" w:rsidP="00326728">
      <w:pPr>
        <w:spacing w:before="60" w:after="60" w:line="264" w:lineRule="auto"/>
        <w:ind w:right="-1136"/>
        <w:jc w:val="both"/>
        <w:rPr>
          <w:rFonts w:eastAsia="Times New Roman" w:cstheme="minorHAnsi"/>
          <w:lang w:eastAsia="de-DE"/>
        </w:rPr>
      </w:pPr>
      <w:r w:rsidRPr="00A740AE">
        <w:rPr>
          <w:rFonts w:eastAsia="Times New Roman" w:cstheme="minorHAnsi"/>
          <w:lang w:eastAsia="de-DE"/>
        </w:rPr>
        <w:t xml:space="preserve">Im Zeitraum September/Oktober 2017 wurde die </w:t>
      </w:r>
      <w:r w:rsidRPr="00A740AE">
        <w:rPr>
          <w:rFonts w:eastAsia="Times New Roman" w:cstheme="minorHAnsi"/>
          <w:u w:val="single"/>
          <w:lang w:eastAsia="de-DE"/>
        </w:rPr>
        <w:t>förmliche Beteiligung der Träger öffentlicher Belange</w:t>
      </w:r>
      <w:r w:rsidRPr="00A740AE">
        <w:rPr>
          <w:rFonts w:eastAsia="Times New Roman" w:cstheme="minorHAnsi"/>
          <w:lang w:eastAsia="de-DE"/>
        </w:rPr>
        <w:t xml:space="preserve"> gemäß § 4 Abs. 2 BauGB durchgeführt. Insgesamt gingen der Stadt Strausberg 29 Stellungnahmen von T</w:t>
      </w:r>
      <w:r w:rsidR="004D480A">
        <w:rPr>
          <w:rFonts w:eastAsia="Times New Roman" w:cstheme="minorHAnsi"/>
          <w:lang w:eastAsia="de-DE"/>
        </w:rPr>
        <w:t>rägern öffentlicher Belange</w:t>
      </w:r>
      <w:r w:rsidRPr="00A740AE">
        <w:rPr>
          <w:rFonts w:eastAsia="Times New Roman" w:cstheme="minorHAnsi"/>
          <w:lang w:eastAsia="de-DE"/>
        </w:rPr>
        <w:t xml:space="preserve"> zu. </w:t>
      </w:r>
    </w:p>
    <w:p w14:paraId="32C3F70F" w14:textId="77777777" w:rsidR="00797F6B" w:rsidRDefault="00797F6B" w:rsidP="00326728">
      <w:pPr>
        <w:spacing w:before="60" w:after="60" w:line="264" w:lineRule="auto"/>
        <w:ind w:right="-1136"/>
        <w:jc w:val="both"/>
        <w:rPr>
          <w:rFonts w:eastAsia="Times New Roman" w:cstheme="minorHAnsi"/>
          <w:lang w:eastAsia="de-DE"/>
        </w:rPr>
      </w:pPr>
      <w:r w:rsidRPr="00A740AE">
        <w:rPr>
          <w:rFonts w:eastAsia="Times New Roman" w:cstheme="minorHAnsi"/>
          <w:lang w:eastAsia="de-DE"/>
        </w:rPr>
        <w:t>Für den Planinhalt maßgebliche Änderungen kamen vom Landesbüro der anerkannten Naturschutzverbände in Brandenburg sowie von der unteren Naturschutzbehörde des Landkreises Märkisch-Oderland. Es erfolgte eine umfassende Eingriffs- und Ausgleichsbetrachtung. Aufgrund der mitgeteilten Anregungen erfolgten artenschutzrechtliche Untersuchungen im Plangebiet zu Brutvögeln, Fledermäusen und Zauneidechsen. Mit den Ergebnissen der Untersuchungen sowie den dazu gehörenden Abstimmungen zwischen den Akteuren Stadtverwaltung, Planende sowie den zuständigen Verwaltungen ist der Bebauungsplan durch das Festsetzen von Ausgleichsmaßnahmen qualifiziert worden (festgesetzte Flächen für Fledermaus- und Zauneidechsenhabitate).</w:t>
      </w:r>
    </w:p>
    <w:p w14:paraId="0ED35F6A" w14:textId="5ACBB366" w:rsidR="00AA2946" w:rsidRPr="00A740AE" w:rsidRDefault="00AA2946" w:rsidP="00326728">
      <w:pPr>
        <w:spacing w:before="60" w:after="60" w:line="264" w:lineRule="auto"/>
        <w:ind w:right="-1136"/>
        <w:jc w:val="both"/>
        <w:rPr>
          <w:rFonts w:eastAsia="Times New Roman" w:cstheme="minorHAnsi"/>
          <w:u w:val="single"/>
          <w:lang w:eastAsia="de-DE"/>
        </w:rPr>
      </w:pPr>
      <w:r w:rsidRPr="00A740AE">
        <w:rPr>
          <w:rFonts w:eastAsia="Times New Roman" w:cstheme="minorHAnsi"/>
          <w:u w:val="single"/>
          <w:lang w:eastAsia="de-DE"/>
        </w:rPr>
        <w:t>Öffentliche Auslegung des Bebauungsplans</w:t>
      </w:r>
      <w:r w:rsidR="00D72506">
        <w:rPr>
          <w:rFonts w:eastAsia="Times New Roman" w:cstheme="minorHAnsi"/>
          <w:u w:val="single"/>
          <w:lang w:eastAsia="de-DE"/>
        </w:rPr>
        <w:t xml:space="preserve"> mit erneuter Behördenbeteiligung</w:t>
      </w:r>
    </w:p>
    <w:p w14:paraId="1A52D44B" w14:textId="21447866" w:rsidR="00797F6B" w:rsidRPr="00AA2946" w:rsidRDefault="00797F6B" w:rsidP="00326728">
      <w:pPr>
        <w:spacing w:before="60" w:after="60" w:line="264" w:lineRule="auto"/>
        <w:ind w:right="-1136"/>
        <w:jc w:val="both"/>
        <w:rPr>
          <w:rFonts w:eastAsia="Times New Roman" w:cstheme="minorHAnsi"/>
          <w:lang w:eastAsia="de-DE"/>
        </w:rPr>
      </w:pPr>
      <w:r w:rsidRPr="00AA2946">
        <w:rPr>
          <w:rFonts w:eastAsia="Times New Roman" w:cstheme="minorHAnsi"/>
          <w:lang w:eastAsia="de-DE"/>
        </w:rPr>
        <w:t>Der Entwurf des Bebauungsplans wurde gemäß § 3 Abs. 2 BauGB mit Entwurfsbegründung, Umweltbericht sowie den nach Einschätzung der Stadt wesentlichen, bereits vorliegenden umweltbezogenen Stellungnahmen und Gutachten in der Zeit vom 02.05. bis einschließlich 03.06.2022 im Gebäude der Stadtverwaltung 58</w:t>
      </w:r>
      <w:r w:rsidR="00D72506" w:rsidRPr="00D72506">
        <w:rPr>
          <w:rFonts w:eastAsia="Times New Roman" w:cstheme="minorHAnsi"/>
          <w:lang w:eastAsia="de-DE"/>
        </w:rPr>
        <w:t xml:space="preserve"> </w:t>
      </w:r>
      <w:r w:rsidR="00D72506" w:rsidRPr="00AA2946">
        <w:rPr>
          <w:rFonts w:eastAsia="Times New Roman" w:cstheme="minorHAnsi"/>
          <w:lang w:eastAsia="de-DE"/>
        </w:rPr>
        <w:t>Strausberg</w:t>
      </w:r>
      <w:r w:rsidR="00D72506">
        <w:rPr>
          <w:rFonts w:eastAsia="Times New Roman" w:cstheme="minorHAnsi"/>
          <w:lang w:eastAsia="de-DE"/>
        </w:rPr>
        <w:t xml:space="preserve"> </w:t>
      </w:r>
      <w:r w:rsidRPr="00AA2946">
        <w:rPr>
          <w:rFonts w:eastAsia="Times New Roman" w:cstheme="minorHAnsi"/>
          <w:lang w:eastAsia="de-DE"/>
        </w:rPr>
        <w:t xml:space="preserve">zur Einsichtnahme öffentlich ausgelegt sowie parallel dazu in das Internet eingestellt. </w:t>
      </w:r>
    </w:p>
    <w:p w14:paraId="76A7055A" w14:textId="77777777" w:rsidR="00797F6B" w:rsidRPr="00AA2946" w:rsidRDefault="00797F6B" w:rsidP="00326728">
      <w:pPr>
        <w:spacing w:before="60" w:after="60" w:line="264" w:lineRule="auto"/>
        <w:ind w:right="-1136"/>
        <w:jc w:val="both"/>
        <w:rPr>
          <w:rFonts w:eastAsia="Times New Roman" w:cstheme="minorHAnsi"/>
          <w:lang w:eastAsia="de-DE"/>
        </w:rPr>
      </w:pPr>
      <w:r w:rsidRPr="00AA2946">
        <w:rPr>
          <w:rFonts w:eastAsia="Times New Roman" w:cstheme="minorHAnsi"/>
          <w:lang w:eastAsia="de-DE"/>
        </w:rPr>
        <w:t xml:space="preserve">Von der förmlichen Beteiligung der Öffentlichkeit hat ein Bürger (Bürger 1) der Stadt Strausberg Gebrauch gemacht und Anregungen vorgebracht, die sich auf das Gebiet </w:t>
      </w:r>
      <w:proofErr w:type="spellStart"/>
      <w:r w:rsidRPr="00AA2946">
        <w:rPr>
          <w:rFonts w:eastAsia="Times New Roman" w:cstheme="minorHAnsi"/>
          <w:lang w:eastAsia="de-DE"/>
        </w:rPr>
        <w:t>GEe</w:t>
      </w:r>
      <w:proofErr w:type="spellEnd"/>
      <w:r w:rsidRPr="00AA2946">
        <w:rPr>
          <w:rFonts w:eastAsia="Times New Roman" w:cstheme="minorHAnsi"/>
          <w:lang w:eastAsia="de-DE"/>
        </w:rPr>
        <w:t xml:space="preserve"> 1 beziehen. Die Anregungen sind zwischenzeitlich geprüft, das Ergebnis ist dem Bürger mitgeteilt worden. Die Anregungen und Fragen des Bürgers führten nicht zu einer Anpassung des Entwurfes. Der Bürger hat mitgeteilt, dass die vorgebrachten Anregungen mündlich geklärt wurden. </w:t>
      </w:r>
    </w:p>
    <w:p w14:paraId="0085522C" w14:textId="77777777" w:rsidR="00797F6B" w:rsidRDefault="00797F6B" w:rsidP="00326728">
      <w:pPr>
        <w:spacing w:before="60" w:after="60" w:line="264" w:lineRule="auto"/>
        <w:ind w:right="-1136"/>
        <w:jc w:val="both"/>
        <w:rPr>
          <w:rFonts w:eastAsia="Times New Roman" w:cstheme="minorHAnsi"/>
          <w:lang w:eastAsia="de-DE"/>
        </w:rPr>
      </w:pPr>
      <w:r w:rsidRPr="00AA2946">
        <w:rPr>
          <w:rFonts w:eastAsia="Times New Roman" w:cstheme="minorHAnsi"/>
          <w:lang w:eastAsia="de-DE"/>
        </w:rPr>
        <w:lastRenderedPageBreak/>
        <w:t>Von den insgesamt 50 beteiligten Trägern öffentlicher Belange (</w:t>
      </w:r>
      <w:proofErr w:type="spellStart"/>
      <w:r w:rsidRPr="00AA2946">
        <w:rPr>
          <w:rFonts w:eastAsia="Times New Roman" w:cstheme="minorHAnsi"/>
          <w:lang w:eastAsia="de-DE"/>
        </w:rPr>
        <w:t>TöB</w:t>
      </w:r>
      <w:proofErr w:type="spellEnd"/>
      <w:r w:rsidRPr="00AA2946">
        <w:rPr>
          <w:rFonts w:eastAsia="Times New Roman" w:cstheme="minorHAnsi"/>
          <w:lang w:eastAsia="de-DE"/>
        </w:rPr>
        <w:t xml:space="preserve">) haben 19 </w:t>
      </w:r>
      <w:proofErr w:type="spellStart"/>
      <w:r w:rsidRPr="00AA2946">
        <w:rPr>
          <w:rFonts w:eastAsia="Times New Roman" w:cstheme="minorHAnsi"/>
          <w:lang w:eastAsia="de-DE"/>
        </w:rPr>
        <w:t>TöB</w:t>
      </w:r>
      <w:proofErr w:type="spellEnd"/>
      <w:r w:rsidRPr="00AA2946">
        <w:rPr>
          <w:rFonts w:eastAsia="Times New Roman" w:cstheme="minorHAnsi"/>
          <w:lang w:eastAsia="de-DE"/>
        </w:rPr>
        <w:t xml:space="preserve"> der Stadt Strausberg geantwortet. Es wurden keine Bedenken oder Anregungen vorgetragen, die zu einer Änderung der Planung führen. </w:t>
      </w:r>
    </w:p>
    <w:p w14:paraId="7E319AE9" w14:textId="1E32A289" w:rsidR="00242044" w:rsidRPr="00DF787F" w:rsidRDefault="00D72506" w:rsidP="00326728">
      <w:pPr>
        <w:tabs>
          <w:tab w:val="left" w:pos="567"/>
        </w:tabs>
        <w:spacing w:before="160" w:after="80" w:line="240" w:lineRule="auto"/>
        <w:ind w:left="567" w:right="-1136" w:hanging="567"/>
        <w:jc w:val="both"/>
        <w:rPr>
          <w:rFonts w:eastAsia="Times New Roman" w:cstheme="minorHAnsi"/>
          <w:b/>
          <w:bCs/>
          <w:sz w:val="24"/>
          <w:szCs w:val="24"/>
          <w:lang w:eastAsia="de-DE"/>
        </w:rPr>
      </w:pPr>
      <w:r>
        <w:rPr>
          <w:rFonts w:eastAsia="Times New Roman" w:cstheme="minorHAnsi"/>
          <w:b/>
          <w:bCs/>
          <w:sz w:val="24"/>
          <w:szCs w:val="24"/>
          <w:lang w:eastAsia="de-DE"/>
        </w:rPr>
        <w:t>III.</w:t>
      </w:r>
      <w:r>
        <w:rPr>
          <w:rFonts w:eastAsia="Times New Roman" w:cstheme="minorHAnsi"/>
          <w:b/>
          <w:bCs/>
          <w:sz w:val="24"/>
          <w:szCs w:val="24"/>
          <w:lang w:eastAsia="de-DE"/>
        </w:rPr>
        <w:tab/>
        <w:t xml:space="preserve">Zu den </w:t>
      </w:r>
      <w:r w:rsidR="00242044" w:rsidRPr="00DF787F">
        <w:rPr>
          <w:rFonts w:eastAsia="Times New Roman" w:cstheme="minorHAnsi"/>
          <w:b/>
          <w:bCs/>
          <w:sz w:val="24"/>
          <w:szCs w:val="24"/>
          <w:lang w:eastAsia="de-DE"/>
        </w:rPr>
        <w:t>Gründe</w:t>
      </w:r>
      <w:r>
        <w:rPr>
          <w:rFonts w:eastAsia="Times New Roman" w:cstheme="minorHAnsi"/>
          <w:b/>
          <w:bCs/>
          <w:sz w:val="24"/>
          <w:szCs w:val="24"/>
          <w:lang w:eastAsia="de-DE"/>
        </w:rPr>
        <w:t>n</w:t>
      </w:r>
      <w:r w:rsidR="00242044" w:rsidRPr="00DF787F">
        <w:rPr>
          <w:rFonts w:eastAsia="Times New Roman" w:cstheme="minorHAnsi"/>
          <w:b/>
          <w:bCs/>
          <w:sz w:val="24"/>
          <w:szCs w:val="24"/>
          <w:lang w:eastAsia="de-DE"/>
        </w:rPr>
        <w:t xml:space="preserve">, aus denen der Plan nach Abwägung mit den geprüften in Betracht kommenden anderweitigen Planungsmöglichkeiten gewählt wurde. </w:t>
      </w:r>
    </w:p>
    <w:p w14:paraId="603E670D" w14:textId="2C463ED3" w:rsidR="00DF4E4A" w:rsidRPr="00DF4E4A" w:rsidRDefault="00DF4E4A" w:rsidP="00326728">
      <w:pPr>
        <w:spacing w:before="60" w:after="60" w:line="264" w:lineRule="auto"/>
        <w:ind w:right="-1136"/>
        <w:jc w:val="both"/>
        <w:rPr>
          <w:rFonts w:eastAsia="Times New Roman" w:cstheme="minorHAnsi"/>
          <w:lang w:eastAsia="de-DE"/>
        </w:rPr>
      </w:pPr>
      <w:r w:rsidRPr="00DF4E4A">
        <w:rPr>
          <w:rFonts w:eastAsia="Times New Roman" w:cstheme="minorHAnsi"/>
          <w:lang w:eastAsia="de-DE"/>
        </w:rPr>
        <w:t>Anlass</w:t>
      </w:r>
      <w:r>
        <w:rPr>
          <w:rFonts w:eastAsia="Times New Roman" w:cstheme="minorHAnsi"/>
          <w:lang w:eastAsia="de-DE"/>
        </w:rPr>
        <w:t xml:space="preserve"> der Stadt Strausberg</w:t>
      </w:r>
      <w:r w:rsidRPr="00DF4E4A">
        <w:rPr>
          <w:rFonts w:eastAsia="Times New Roman" w:cstheme="minorHAnsi"/>
          <w:lang w:eastAsia="de-DE"/>
        </w:rPr>
        <w:t xml:space="preserve"> für die Aufstellung dieses Bebauungsplanes ist die planungsrechtliche Sicherung, Neuordnung und Entwicklung eines Teilbereichs der ehemaligen Fernmeldezentrale der Deutschen Post der DDR in der Stadt Strausberg zu einem Gebiet mit einem vielfältigen Nutzungsspektrum, das über die Bestandsnutzungen hinausgeht und zu der auch eine Wohnnutzung auf bisher nicht baulich genutzten Flächen gehören soll. </w:t>
      </w:r>
    </w:p>
    <w:p w14:paraId="63121774" w14:textId="218573F6" w:rsidR="00DF4E4A" w:rsidRDefault="00CD4E0B" w:rsidP="00326728">
      <w:pPr>
        <w:spacing w:before="60" w:after="60" w:line="264" w:lineRule="auto"/>
        <w:ind w:right="-1136"/>
        <w:jc w:val="both"/>
        <w:rPr>
          <w:rFonts w:eastAsia="Times New Roman" w:cstheme="minorHAnsi"/>
          <w:lang w:eastAsia="de-DE"/>
        </w:rPr>
      </w:pPr>
      <w:r>
        <w:rPr>
          <w:rFonts w:eastAsia="Times New Roman" w:cstheme="minorHAnsi"/>
          <w:lang w:eastAsia="de-DE"/>
        </w:rPr>
        <w:t xml:space="preserve">Das Aufstellungsverfahren ist stufenweise mit den </w:t>
      </w:r>
      <w:r w:rsidR="00326728">
        <w:rPr>
          <w:rFonts w:eastAsia="Times New Roman" w:cstheme="minorHAnsi"/>
          <w:lang w:eastAsia="de-DE"/>
        </w:rPr>
        <w:t>oben</w:t>
      </w:r>
      <w:r>
        <w:rPr>
          <w:rFonts w:eastAsia="Times New Roman" w:cstheme="minorHAnsi"/>
          <w:lang w:eastAsia="de-DE"/>
        </w:rPr>
        <w:t xml:space="preserve"> dargestellten Beteiligungsschritten erfolgt. Die Anregungen aus den jeweiligen Verfahrensschritten haben gezeigt, dass das Erreichen der Planungsziele mit der Berücksichtigung der Anregungen möglich ist. </w:t>
      </w:r>
    </w:p>
    <w:p w14:paraId="1325C94F" w14:textId="45A819EE" w:rsidR="00CD4E0B" w:rsidRDefault="00CD4E0B" w:rsidP="00326728">
      <w:pPr>
        <w:spacing w:before="60" w:after="60" w:line="264" w:lineRule="auto"/>
        <w:ind w:right="-1136"/>
        <w:jc w:val="both"/>
        <w:rPr>
          <w:rFonts w:eastAsia="Times New Roman" w:cstheme="minorHAnsi"/>
          <w:lang w:eastAsia="de-DE"/>
        </w:rPr>
      </w:pPr>
      <w:r>
        <w:rPr>
          <w:rFonts w:eastAsia="Times New Roman" w:cstheme="minorHAnsi"/>
          <w:lang w:eastAsia="de-DE"/>
        </w:rPr>
        <w:t>Die verkehrliche Erschließung des Plangebietes konnte gesichert werden, die Baugebiete sind festgesetzt, Art und Maß der baulichen Nutzung haben sich bestätigt</w:t>
      </w:r>
      <w:r w:rsidR="00EA724C">
        <w:rPr>
          <w:rFonts w:eastAsia="Times New Roman" w:cstheme="minorHAnsi"/>
          <w:lang w:eastAsia="de-DE"/>
        </w:rPr>
        <w:t>. D</w:t>
      </w:r>
      <w:r>
        <w:rPr>
          <w:rFonts w:eastAsia="Times New Roman" w:cstheme="minorHAnsi"/>
          <w:lang w:eastAsia="de-DE"/>
        </w:rPr>
        <w:t xml:space="preserve">ie Flächen, die überbaut werden können, sind festgesetzt; insofern konnten alle Belange innerhalb des Aufstellungsverfahrens berücksichtigt werden, die zu einer Qualifizierung des Bebauungsplans und damit zum Schaffen der planungsrechtlichen Grundlagen </w:t>
      </w:r>
      <w:r w:rsidR="00EA724C">
        <w:rPr>
          <w:rFonts w:eastAsia="Times New Roman" w:cstheme="minorHAnsi"/>
          <w:lang w:eastAsia="de-DE"/>
        </w:rPr>
        <w:t>für das künftige Errichten von baulichen Anlagen mit den jeweiligen Nutzungen führen.</w:t>
      </w:r>
    </w:p>
    <w:p w14:paraId="5CF79B3F" w14:textId="075F64EA" w:rsidR="00EA724C" w:rsidRPr="00DF4E4A" w:rsidRDefault="00326728" w:rsidP="00326728">
      <w:pPr>
        <w:spacing w:before="60" w:after="60" w:line="264" w:lineRule="auto"/>
        <w:ind w:right="-1136"/>
        <w:jc w:val="both"/>
        <w:rPr>
          <w:rFonts w:eastAsia="Times New Roman" w:cstheme="minorHAnsi"/>
          <w:lang w:eastAsia="de-DE"/>
        </w:rPr>
      </w:pPr>
      <w:r>
        <w:rPr>
          <w:rFonts w:eastAsia="Times New Roman" w:cstheme="minorHAnsi"/>
          <w:lang w:eastAsia="de-DE"/>
        </w:rPr>
        <w:t>Die Abwägung hat insgesamt gezeigt</w:t>
      </w:r>
      <w:r w:rsidR="00EA724C">
        <w:rPr>
          <w:rFonts w:eastAsia="Times New Roman" w:cstheme="minorHAnsi"/>
          <w:lang w:eastAsia="de-DE"/>
        </w:rPr>
        <w:t xml:space="preserve">, </w:t>
      </w:r>
      <w:r>
        <w:rPr>
          <w:rFonts w:eastAsia="Times New Roman" w:cstheme="minorHAnsi"/>
          <w:lang w:eastAsia="de-DE"/>
        </w:rPr>
        <w:t xml:space="preserve">dass </w:t>
      </w:r>
      <w:r w:rsidR="00EA724C">
        <w:rPr>
          <w:rFonts w:eastAsia="Times New Roman" w:cstheme="minorHAnsi"/>
          <w:lang w:eastAsia="de-DE"/>
        </w:rPr>
        <w:t xml:space="preserve">die Aufstellung des Bebauungsplans und die Nutzung des Planungsrechts auf der Grundlage des Baugesetzbuchs für </w:t>
      </w:r>
      <w:r>
        <w:rPr>
          <w:rFonts w:eastAsia="Times New Roman" w:cstheme="minorHAnsi"/>
          <w:lang w:eastAsia="de-DE"/>
        </w:rPr>
        <w:t>das Plangebiet „</w:t>
      </w:r>
      <w:proofErr w:type="spellStart"/>
      <w:r>
        <w:rPr>
          <w:rFonts w:eastAsia="Times New Roman" w:cstheme="minorHAnsi"/>
          <w:lang w:eastAsia="de-DE"/>
        </w:rPr>
        <w:t>Garzauer</w:t>
      </w:r>
      <w:proofErr w:type="spellEnd"/>
      <w:r>
        <w:rPr>
          <w:rFonts w:eastAsia="Times New Roman" w:cstheme="minorHAnsi"/>
          <w:lang w:eastAsia="de-DE"/>
        </w:rPr>
        <w:t xml:space="preserve"> Straße“ </w:t>
      </w:r>
      <w:r w:rsidR="004D480A">
        <w:rPr>
          <w:rFonts w:eastAsia="Times New Roman" w:cstheme="minorHAnsi"/>
          <w:lang w:eastAsia="de-DE"/>
        </w:rPr>
        <w:t xml:space="preserve">der Stadt Strausberg </w:t>
      </w:r>
      <w:r w:rsidR="00EA724C">
        <w:rPr>
          <w:rFonts w:eastAsia="Times New Roman" w:cstheme="minorHAnsi"/>
          <w:lang w:eastAsia="de-DE"/>
        </w:rPr>
        <w:t xml:space="preserve">erforderlich und </w:t>
      </w:r>
      <w:r>
        <w:rPr>
          <w:rFonts w:eastAsia="Times New Roman" w:cstheme="minorHAnsi"/>
          <w:lang w:eastAsia="de-DE"/>
        </w:rPr>
        <w:t>zielführend gewesen ist</w:t>
      </w:r>
      <w:r w:rsidR="00EA724C">
        <w:rPr>
          <w:rFonts w:eastAsia="Times New Roman" w:cstheme="minorHAnsi"/>
          <w:lang w:eastAsia="de-DE"/>
        </w:rPr>
        <w:t xml:space="preserve"> </w:t>
      </w:r>
    </w:p>
    <w:p w14:paraId="5E7DD1A5" w14:textId="1BE08E6B" w:rsidR="00242044" w:rsidRDefault="00242044" w:rsidP="00326728">
      <w:pPr>
        <w:spacing w:before="60" w:after="60" w:line="264" w:lineRule="auto"/>
        <w:ind w:right="-1136"/>
        <w:jc w:val="both"/>
        <w:rPr>
          <w:rFonts w:eastAsia="Times New Roman" w:cstheme="minorHAnsi"/>
          <w:lang w:eastAsia="de-DE"/>
        </w:rPr>
      </w:pPr>
    </w:p>
    <w:p w14:paraId="54847BDC" w14:textId="77777777" w:rsidR="00326728" w:rsidRDefault="00326728" w:rsidP="00326728">
      <w:pPr>
        <w:spacing w:before="60" w:after="60" w:line="264" w:lineRule="auto"/>
        <w:ind w:right="-1136"/>
        <w:jc w:val="both"/>
        <w:rPr>
          <w:rFonts w:eastAsia="Times New Roman" w:cstheme="minorHAnsi"/>
          <w:lang w:eastAsia="de-DE"/>
        </w:rPr>
      </w:pPr>
    </w:p>
    <w:p w14:paraId="799095AA" w14:textId="77777777" w:rsidR="00326728" w:rsidRDefault="00326728" w:rsidP="00326728">
      <w:pPr>
        <w:pBdr>
          <w:bottom w:val="single" w:sz="6" w:space="1" w:color="auto"/>
        </w:pBdr>
        <w:spacing w:before="60" w:after="60" w:line="264" w:lineRule="auto"/>
        <w:ind w:right="-1136"/>
        <w:jc w:val="both"/>
        <w:rPr>
          <w:rFonts w:eastAsia="Times New Roman" w:cstheme="minorHAnsi"/>
          <w:lang w:eastAsia="de-DE"/>
        </w:rPr>
      </w:pPr>
    </w:p>
    <w:p w14:paraId="0694048E" w14:textId="77777777" w:rsidR="00326728" w:rsidRPr="009A204E" w:rsidRDefault="00326728" w:rsidP="00326728">
      <w:pPr>
        <w:spacing w:before="60" w:after="60" w:line="264" w:lineRule="auto"/>
        <w:ind w:right="-1136"/>
        <w:jc w:val="both"/>
        <w:rPr>
          <w:rFonts w:eastAsia="Times New Roman" w:cstheme="minorHAnsi"/>
          <w:lang w:eastAsia="de-DE"/>
        </w:rPr>
      </w:pPr>
    </w:p>
    <w:sectPr w:rsidR="00326728" w:rsidRPr="009A204E" w:rsidSect="009A204E">
      <w:footerReference w:type="default" r:id="rId6"/>
      <w:pgSz w:w="11906" w:h="16838"/>
      <w:pgMar w:top="1418" w:right="311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ED32" w14:textId="77777777" w:rsidR="004E32B3" w:rsidRDefault="004E32B3" w:rsidP="00AA2946">
      <w:pPr>
        <w:spacing w:after="0" w:line="240" w:lineRule="auto"/>
      </w:pPr>
      <w:r>
        <w:separator/>
      </w:r>
    </w:p>
  </w:endnote>
  <w:endnote w:type="continuationSeparator" w:id="0">
    <w:p w14:paraId="79B2149C" w14:textId="77777777" w:rsidR="004E32B3" w:rsidRDefault="004E32B3" w:rsidP="00AA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18618221"/>
      <w:docPartObj>
        <w:docPartGallery w:val="Page Numbers (Bottom of Page)"/>
        <w:docPartUnique/>
      </w:docPartObj>
    </w:sdtPr>
    <w:sdtEndPr>
      <w:rPr>
        <w:sz w:val="22"/>
        <w:szCs w:val="22"/>
      </w:rPr>
    </w:sdtEndPr>
    <w:sdtContent>
      <w:p w14:paraId="6069B40C" w14:textId="3D8C47B2" w:rsidR="00AA2946" w:rsidRDefault="00AA2946" w:rsidP="00DF4E4A">
        <w:pPr>
          <w:pStyle w:val="Fuzeile"/>
          <w:tabs>
            <w:tab w:val="clear" w:pos="4536"/>
            <w:tab w:val="clear" w:pos="9072"/>
            <w:tab w:val="right" w:pos="7369"/>
          </w:tabs>
          <w:jc w:val="both"/>
        </w:pPr>
        <w:r w:rsidRPr="00DF4E4A">
          <w:rPr>
            <w:sz w:val="18"/>
            <w:szCs w:val="18"/>
          </w:rPr>
          <w:t xml:space="preserve">Büro </w:t>
        </w:r>
        <w:r w:rsidRPr="00DF4E4A">
          <w:rPr>
            <w:spacing w:val="20"/>
            <w:sz w:val="18"/>
            <w:szCs w:val="18"/>
          </w:rPr>
          <w:t>STADTLANDPROJEKTE</w:t>
        </w:r>
        <w:r w:rsidR="00DF4E4A">
          <w:rPr>
            <w:sz w:val="18"/>
            <w:szCs w:val="18"/>
          </w:rPr>
          <w:tab/>
        </w:r>
        <w:r w:rsidRPr="00DF4E4A">
          <w:rPr>
            <w:b/>
            <w:bCs/>
            <w:sz w:val="24"/>
            <w:szCs w:val="24"/>
          </w:rPr>
          <w:fldChar w:fldCharType="begin"/>
        </w:r>
        <w:r w:rsidRPr="00DF4E4A">
          <w:rPr>
            <w:b/>
            <w:bCs/>
            <w:sz w:val="24"/>
            <w:szCs w:val="24"/>
          </w:rPr>
          <w:instrText>PAGE   \* MERGEFORMAT</w:instrText>
        </w:r>
        <w:r w:rsidRPr="00DF4E4A">
          <w:rPr>
            <w:b/>
            <w:bCs/>
            <w:sz w:val="24"/>
            <w:szCs w:val="24"/>
          </w:rPr>
          <w:fldChar w:fldCharType="separate"/>
        </w:r>
        <w:r w:rsidR="004D480A">
          <w:rPr>
            <w:b/>
            <w:bCs/>
            <w:noProof/>
            <w:sz w:val="24"/>
            <w:szCs w:val="24"/>
          </w:rPr>
          <w:t>4</w:t>
        </w:r>
        <w:r w:rsidRPr="00DF4E4A">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8AC9" w14:textId="77777777" w:rsidR="004E32B3" w:rsidRDefault="004E32B3" w:rsidP="00AA2946">
      <w:pPr>
        <w:spacing w:after="0" w:line="240" w:lineRule="auto"/>
      </w:pPr>
      <w:r>
        <w:separator/>
      </w:r>
    </w:p>
  </w:footnote>
  <w:footnote w:type="continuationSeparator" w:id="0">
    <w:p w14:paraId="6F03F300" w14:textId="77777777" w:rsidR="004E32B3" w:rsidRDefault="004E32B3" w:rsidP="00AA29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48"/>
    <w:rsid w:val="001C7FF8"/>
    <w:rsid w:val="00204EA5"/>
    <w:rsid w:val="00242044"/>
    <w:rsid w:val="00262064"/>
    <w:rsid w:val="00326728"/>
    <w:rsid w:val="003626D2"/>
    <w:rsid w:val="003E7ACD"/>
    <w:rsid w:val="004D480A"/>
    <w:rsid w:val="004E32B3"/>
    <w:rsid w:val="00594C23"/>
    <w:rsid w:val="005A5151"/>
    <w:rsid w:val="005E0066"/>
    <w:rsid w:val="00602850"/>
    <w:rsid w:val="00636048"/>
    <w:rsid w:val="0064185A"/>
    <w:rsid w:val="006612CE"/>
    <w:rsid w:val="00797F6B"/>
    <w:rsid w:val="0083050C"/>
    <w:rsid w:val="009A204E"/>
    <w:rsid w:val="00A740AE"/>
    <w:rsid w:val="00AA2946"/>
    <w:rsid w:val="00BE2FB1"/>
    <w:rsid w:val="00CD4E0B"/>
    <w:rsid w:val="00CF6D98"/>
    <w:rsid w:val="00D460D4"/>
    <w:rsid w:val="00D569FA"/>
    <w:rsid w:val="00D72506"/>
    <w:rsid w:val="00DF4E4A"/>
    <w:rsid w:val="00DF787F"/>
    <w:rsid w:val="00E86B74"/>
    <w:rsid w:val="00EA724C"/>
    <w:rsid w:val="00F135D8"/>
    <w:rsid w:val="00F74D39"/>
    <w:rsid w:val="00FD5F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895E"/>
  <w15:docId w15:val="{A56B4492-C7B0-445E-AAB7-23A00AE4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6048"/>
    <w:pPr>
      <w:ind w:left="720"/>
      <w:contextualSpacing/>
    </w:pPr>
  </w:style>
  <w:style w:type="paragraph" w:customStyle="1" w:styleId="Textbody">
    <w:name w:val="Text body"/>
    <w:rsid w:val="00DF787F"/>
    <w:pPr>
      <w:pBdr>
        <w:top w:val="nil"/>
        <w:left w:val="nil"/>
        <w:bottom w:val="nil"/>
        <w:right w:val="nil"/>
        <w:between w:val="nil"/>
        <w:bar w:val="nil"/>
      </w:pBdr>
      <w:spacing w:after="113" w:line="340" w:lineRule="exact"/>
    </w:pPr>
    <w:rPr>
      <w:rFonts w:ascii="Arial" w:eastAsia="Arial Unicode MS" w:hAnsi="Arial" w:cs="Arial Unicode MS"/>
      <w:color w:val="00000A"/>
      <w:u w:color="00000A"/>
      <w:bdr w:val="nil"/>
      <w:lang w:eastAsia="de-DE"/>
    </w:rPr>
  </w:style>
  <w:style w:type="paragraph" w:customStyle="1" w:styleId="FreieForm">
    <w:name w:val="Freie Form"/>
    <w:rsid w:val="00CF6D98"/>
    <w:pPr>
      <w:pBdr>
        <w:top w:val="nil"/>
        <w:left w:val="nil"/>
        <w:bottom w:val="nil"/>
        <w:right w:val="nil"/>
        <w:between w:val="nil"/>
        <w:bar w:val="nil"/>
      </w:pBdr>
      <w:shd w:val="clear" w:color="auto" w:fill="FFFFFF"/>
      <w:spacing w:before="113" w:after="113" w:line="255" w:lineRule="exact"/>
    </w:pPr>
    <w:rPr>
      <w:rFonts w:ascii="Arial" w:eastAsia="Arial" w:hAnsi="Arial" w:cs="Arial"/>
      <w:color w:val="000000"/>
      <w:sz w:val="24"/>
      <w:szCs w:val="24"/>
      <w:u w:color="000000"/>
      <w:bdr w:val="nil"/>
      <w:lang w:eastAsia="de-DE"/>
    </w:rPr>
  </w:style>
  <w:style w:type="character" w:customStyle="1" w:styleId="Hyperlink0">
    <w:name w:val="Hyperlink.0"/>
    <w:basedOn w:val="Absatz-Standardschriftart"/>
    <w:rsid w:val="00CF6D98"/>
    <w:rPr>
      <w:rFonts w:ascii="Calibri" w:eastAsia="Calibri" w:hAnsi="Calibri" w:cs="Calibri"/>
    </w:rPr>
  </w:style>
  <w:style w:type="paragraph" w:styleId="Kopfzeile">
    <w:name w:val="header"/>
    <w:basedOn w:val="Standard"/>
    <w:link w:val="KopfzeileZchn"/>
    <w:uiPriority w:val="99"/>
    <w:unhideWhenUsed/>
    <w:rsid w:val="00AA29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2946"/>
  </w:style>
  <w:style w:type="paragraph" w:styleId="Fuzeile">
    <w:name w:val="footer"/>
    <w:basedOn w:val="Standard"/>
    <w:link w:val="FuzeileZchn"/>
    <w:uiPriority w:val="99"/>
    <w:unhideWhenUsed/>
    <w:rsid w:val="00AA29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967352">
      <w:bodyDiv w:val="1"/>
      <w:marLeft w:val="0"/>
      <w:marRight w:val="0"/>
      <w:marTop w:val="0"/>
      <w:marBottom w:val="0"/>
      <w:divBdr>
        <w:top w:val="none" w:sz="0" w:space="0" w:color="auto"/>
        <w:left w:val="none" w:sz="0" w:space="0" w:color="auto"/>
        <w:bottom w:val="none" w:sz="0" w:space="0" w:color="auto"/>
        <w:right w:val="none" w:sz="0" w:space="0" w:color="auto"/>
      </w:divBdr>
      <w:divsChild>
        <w:div w:id="894125654">
          <w:marLeft w:val="0"/>
          <w:marRight w:val="0"/>
          <w:marTop w:val="0"/>
          <w:marBottom w:val="0"/>
          <w:divBdr>
            <w:top w:val="none" w:sz="0" w:space="0" w:color="auto"/>
            <w:left w:val="none" w:sz="0" w:space="0" w:color="auto"/>
            <w:bottom w:val="none" w:sz="0" w:space="0" w:color="auto"/>
            <w:right w:val="none" w:sz="0" w:space="0" w:color="auto"/>
          </w:divBdr>
          <w:divsChild>
            <w:div w:id="1949775480">
              <w:marLeft w:val="0"/>
              <w:marRight w:val="0"/>
              <w:marTop w:val="0"/>
              <w:marBottom w:val="0"/>
              <w:divBdr>
                <w:top w:val="none" w:sz="0" w:space="0" w:color="auto"/>
                <w:left w:val="none" w:sz="0" w:space="0" w:color="auto"/>
                <w:bottom w:val="none" w:sz="0" w:space="0" w:color="auto"/>
                <w:right w:val="none" w:sz="0" w:space="0" w:color="auto"/>
              </w:divBdr>
              <w:divsChild>
                <w:div w:id="2075396083">
                  <w:marLeft w:val="0"/>
                  <w:marRight w:val="0"/>
                  <w:marTop w:val="0"/>
                  <w:marBottom w:val="0"/>
                  <w:divBdr>
                    <w:top w:val="none" w:sz="0" w:space="0" w:color="auto"/>
                    <w:left w:val="none" w:sz="0" w:space="0" w:color="auto"/>
                    <w:bottom w:val="none" w:sz="0" w:space="0" w:color="auto"/>
                    <w:right w:val="none" w:sz="0" w:space="0" w:color="auto"/>
                  </w:divBdr>
                  <w:divsChild>
                    <w:div w:id="1928269604">
                      <w:marLeft w:val="0"/>
                      <w:marRight w:val="0"/>
                      <w:marTop w:val="0"/>
                      <w:marBottom w:val="0"/>
                      <w:divBdr>
                        <w:top w:val="none" w:sz="0" w:space="0" w:color="auto"/>
                        <w:left w:val="none" w:sz="0" w:space="0" w:color="auto"/>
                        <w:bottom w:val="none" w:sz="0" w:space="0" w:color="auto"/>
                        <w:right w:val="none" w:sz="0" w:space="0" w:color="auto"/>
                      </w:divBdr>
                    </w:div>
                    <w:div w:id="19614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7825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dc:creator>
  <cp:keywords/>
  <dc:description/>
  <cp:lastModifiedBy>Georg Balzer</cp:lastModifiedBy>
  <cp:revision>4</cp:revision>
  <dcterms:created xsi:type="dcterms:W3CDTF">2022-09-15T16:47:00Z</dcterms:created>
  <dcterms:modified xsi:type="dcterms:W3CDTF">2022-09-15T16:48:00Z</dcterms:modified>
</cp:coreProperties>
</file>